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2CD28">
      <w:pPr>
        <w:adjustRightInd w:val="0"/>
        <w:snapToGrid w:val="0"/>
        <w:spacing w:line="360" w:lineRule="auto"/>
        <w:jc w:val="left"/>
        <w:rPr>
          <w:rFonts w:hint="eastAsia" w:ascii="黑体" w:hAnsi="黑体" w:eastAsia="黑体" w:cs="黑体"/>
          <w:b w:val="0"/>
          <w:bCs/>
          <w:color w:val="auto"/>
          <w:spacing w:val="-6"/>
          <w:sz w:val="28"/>
          <w:szCs w:val="28"/>
        </w:rPr>
      </w:pPr>
      <w:r>
        <w:rPr>
          <w:rFonts w:hint="eastAsia" w:ascii="黑体" w:hAnsi="黑体" w:eastAsia="黑体" w:cs="黑体"/>
          <w:b w:val="0"/>
          <w:bCs/>
          <w:color w:val="auto"/>
          <w:spacing w:val="-6"/>
          <w:sz w:val="28"/>
          <w:szCs w:val="28"/>
        </w:rPr>
        <w:t>附</w:t>
      </w:r>
      <w:r>
        <w:rPr>
          <w:rFonts w:hint="eastAsia" w:ascii="黑体" w:hAnsi="黑体" w:eastAsia="黑体" w:cs="黑体"/>
          <w:b w:val="0"/>
          <w:bCs/>
          <w:color w:val="auto"/>
          <w:spacing w:val="-6"/>
          <w:sz w:val="28"/>
          <w:szCs w:val="28"/>
          <w:lang w:eastAsia="zh-CN"/>
        </w:rPr>
        <w:t>表</w:t>
      </w:r>
      <w:r>
        <w:rPr>
          <w:rFonts w:hint="eastAsia" w:ascii="黑体" w:hAnsi="黑体" w:eastAsia="黑体" w:cs="黑体"/>
          <w:b w:val="0"/>
          <w:bCs/>
          <w:color w:val="auto"/>
          <w:spacing w:val="-6"/>
          <w:sz w:val="28"/>
          <w:szCs w:val="28"/>
        </w:rPr>
        <w:t>2</w:t>
      </w:r>
    </w:p>
    <w:p w14:paraId="4CD9881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b/>
          <w:color w:val="auto"/>
          <w:sz w:val="32"/>
          <w:szCs w:val="32"/>
        </w:rPr>
      </w:pPr>
      <w:bookmarkStart w:id="0" w:name="_GoBack"/>
      <w:r>
        <w:rPr>
          <w:rFonts w:hint="eastAsia" w:ascii="宋体" w:hAnsi="宋体"/>
          <w:b/>
          <w:color w:val="auto"/>
          <w:sz w:val="32"/>
          <w:szCs w:val="32"/>
          <w:lang w:eastAsia="zh-CN"/>
        </w:rPr>
        <w:t>增城区</w:t>
      </w:r>
      <w:r>
        <w:rPr>
          <w:rFonts w:hint="eastAsia" w:ascii="宋体" w:hAnsi="宋体"/>
          <w:b/>
          <w:color w:val="auto"/>
          <w:sz w:val="32"/>
          <w:szCs w:val="32"/>
        </w:rPr>
        <w:t>级农业龙头企业认定和监测评分标准</w:t>
      </w:r>
      <w:bookmarkEnd w:id="0"/>
    </w:p>
    <w:tbl>
      <w:tblPr>
        <w:tblStyle w:val="6"/>
        <w:tblW w:w="15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495"/>
        <w:gridCol w:w="1898"/>
        <w:gridCol w:w="2255"/>
        <w:gridCol w:w="2254"/>
        <w:gridCol w:w="1984"/>
        <w:gridCol w:w="4394"/>
      </w:tblGrid>
      <w:tr w14:paraId="51D8C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2429" w:type="dxa"/>
            <w:gridSpan w:val="2"/>
            <w:noWrap w:val="0"/>
            <w:vAlign w:val="center"/>
          </w:tcPr>
          <w:p w14:paraId="7F24A7DE">
            <w:pPr>
              <w:jc w:val="center"/>
              <w:rPr>
                <w:rFonts w:ascii="华文仿宋" w:hAnsi="华文仿宋" w:eastAsia="华文仿宋"/>
                <w:b/>
                <w:color w:val="auto"/>
                <w:szCs w:val="21"/>
              </w:rPr>
            </w:pPr>
            <w:r>
              <w:rPr>
                <w:rFonts w:hint="eastAsia" w:ascii="华文仿宋" w:hAnsi="华文仿宋" w:eastAsia="华文仿宋"/>
                <w:b/>
                <w:color w:val="auto"/>
                <w:szCs w:val="21"/>
              </w:rPr>
              <w:t>企业类型</w:t>
            </w:r>
          </w:p>
        </w:tc>
        <w:tc>
          <w:tcPr>
            <w:tcW w:w="1898" w:type="dxa"/>
            <w:tcBorders>
              <w:right w:val="single" w:color="auto" w:sz="4" w:space="0"/>
            </w:tcBorders>
            <w:noWrap w:val="0"/>
            <w:vAlign w:val="center"/>
          </w:tcPr>
          <w:p w14:paraId="44D5C3B1">
            <w:pPr>
              <w:adjustRightInd w:val="0"/>
              <w:snapToGrid w:val="0"/>
              <w:jc w:val="center"/>
              <w:rPr>
                <w:rFonts w:ascii="华文仿宋" w:hAnsi="华文仿宋" w:eastAsia="华文仿宋"/>
                <w:b/>
                <w:color w:val="auto"/>
                <w:szCs w:val="21"/>
              </w:rPr>
            </w:pPr>
            <w:r>
              <w:rPr>
                <w:rFonts w:hint="eastAsia" w:ascii="华文仿宋" w:hAnsi="华文仿宋" w:eastAsia="华文仿宋"/>
                <w:b/>
                <w:color w:val="auto"/>
                <w:szCs w:val="21"/>
              </w:rPr>
              <w:t>一.农产品生产型</w:t>
            </w:r>
          </w:p>
        </w:tc>
        <w:tc>
          <w:tcPr>
            <w:tcW w:w="2255" w:type="dxa"/>
            <w:tcBorders>
              <w:left w:val="single" w:color="auto" w:sz="4" w:space="0"/>
              <w:right w:val="single" w:color="auto" w:sz="4" w:space="0"/>
            </w:tcBorders>
            <w:noWrap w:val="0"/>
            <w:vAlign w:val="center"/>
          </w:tcPr>
          <w:p w14:paraId="3062AC30">
            <w:pPr>
              <w:spacing w:line="0" w:lineRule="atLeast"/>
              <w:jc w:val="center"/>
              <w:rPr>
                <w:rFonts w:ascii="华文仿宋" w:hAnsi="华文仿宋" w:eastAsia="华文仿宋"/>
                <w:b/>
                <w:color w:val="auto"/>
                <w:szCs w:val="21"/>
              </w:rPr>
            </w:pPr>
            <w:r>
              <w:rPr>
                <w:rFonts w:hint="eastAsia" w:ascii="华文仿宋" w:hAnsi="华文仿宋" w:eastAsia="华文仿宋"/>
                <w:b/>
                <w:color w:val="auto"/>
                <w:szCs w:val="21"/>
              </w:rPr>
              <w:t>二.农产品加工</w:t>
            </w:r>
            <w:r>
              <w:rPr>
                <w:rFonts w:ascii="华文仿宋" w:hAnsi="华文仿宋" w:eastAsia="华文仿宋"/>
                <w:b/>
                <w:color w:val="auto"/>
                <w:szCs w:val="21"/>
              </w:rPr>
              <w:t>流通</w:t>
            </w:r>
            <w:r>
              <w:rPr>
                <w:rFonts w:hint="eastAsia" w:ascii="华文仿宋" w:hAnsi="华文仿宋" w:eastAsia="华文仿宋"/>
                <w:b/>
                <w:color w:val="auto"/>
                <w:szCs w:val="21"/>
              </w:rPr>
              <w:t>型</w:t>
            </w:r>
          </w:p>
        </w:tc>
        <w:tc>
          <w:tcPr>
            <w:tcW w:w="2254" w:type="dxa"/>
            <w:tcBorders>
              <w:left w:val="single" w:color="auto" w:sz="4" w:space="0"/>
              <w:right w:val="single" w:color="auto" w:sz="4" w:space="0"/>
            </w:tcBorders>
            <w:noWrap w:val="0"/>
            <w:vAlign w:val="center"/>
          </w:tcPr>
          <w:p w14:paraId="2D3AEC3D">
            <w:pPr>
              <w:spacing w:line="0" w:lineRule="atLeast"/>
              <w:jc w:val="center"/>
              <w:rPr>
                <w:rFonts w:ascii="华文仿宋" w:hAnsi="华文仿宋" w:eastAsia="华文仿宋"/>
                <w:b/>
                <w:color w:val="auto"/>
                <w:szCs w:val="21"/>
              </w:rPr>
            </w:pPr>
            <w:r>
              <w:rPr>
                <w:rFonts w:hint="eastAsia" w:ascii="华文仿宋" w:hAnsi="华文仿宋" w:eastAsia="华文仿宋"/>
                <w:b/>
                <w:color w:val="auto"/>
                <w:szCs w:val="21"/>
              </w:rPr>
              <w:t>三.农产品市场带动型</w:t>
            </w:r>
          </w:p>
        </w:tc>
        <w:tc>
          <w:tcPr>
            <w:tcW w:w="1984" w:type="dxa"/>
            <w:tcBorders>
              <w:left w:val="single" w:color="auto" w:sz="4" w:space="0"/>
              <w:right w:val="single" w:color="auto" w:sz="4" w:space="0"/>
            </w:tcBorders>
            <w:noWrap w:val="0"/>
            <w:vAlign w:val="center"/>
          </w:tcPr>
          <w:p w14:paraId="6570E303">
            <w:pPr>
              <w:spacing w:line="0" w:lineRule="atLeast"/>
              <w:jc w:val="center"/>
              <w:rPr>
                <w:rFonts w:ascii="华文仿宋" w:hAnsi="华文仿宋" w:eastAsia="华文仿宋"/>
                <w:b/>
                <w:color w:val="auto"/>
                <w:szCs w:val="21"/>
              </w:rPr>
            </w:pPr>
            <w:r>
              <w:rPr>
                <w:rFonts w:hint="eastAsia" w:ascii="华文仿宋" w:hAnsi="华文仿宋" w:eastAsia="华文仿宋"/>
                <w:b/>
                <w:color w:val="auto"/>
                <w:szCs w:val="21"/>
              </w:rPr>
              <w:t>四.</w:t>
            </w:r>
            <w:r>
              <w:rPr>
                <w:rFonts w:ascii="华文仿宋" w:hAnsi="华文仿宋" w:eastAsia="华文仿宋"/>
                <w:b/>
                <w:color w:val="auto"/>
                <w:szCs w:val="21"/>
              </w:rPr>
              <w:t>农业科技服务</w:t>
            </w:r>
            <w:r>
              <w:rPr>
                <w:rFonts w:hint="eastAsia" w:ascii="华文仿宋" w:hAnsi="华文仿宋" w:eastAsia="华文仿宋"/>
                <w:b/>
                <w:color w:val="auto"/>
                <w:szCs w:val="21"/>
              </w:rPr>
              <w:t>型</w:t>
            </w:r>
          </w:p>
        </w:tc>
        <w:tc>
          <w:tcPr>
            <w:tcW w:w="4394" w:type="dxa"/>
            <w:tcBorders>
              <w:left w:val="single" w:color="auto" w:sz="4" w:space="0"/>
              <w:right w:val="single" w:color="auto" w:sz="4" w:space="0"/>
            </w:tcBorders>
            <w:noWrap w:val="0"/>
            <w:vAlign w:val="center"/>
          </w:tcPr>
          <w:p w14:paraId="69CEC2F5">
            <w:pPr>
              <w:spacing w:line="0" w:lineRule="atLeast"/>
              <w:jc w:val="center"/>
              <w:rPr>
                <w:rFonts w:hint="eastAsia" w:ascii="华文仿宋" w:hAnsi="华文仿宋" w:eastAsia="华文仿宋"/>
                <w:b/>
                <w:color w:val="auto"/>
                <w:szCs w:val="21"/>
              </w:rPr>
            </w:pPr>
            <w:r>
              <w:rPr>
                <w:rFonts w:hint="eastAsia" w:ascii="华文仿宋" w:hAnsi="华文仿宋" w:eastAsia="华文仿宋"/>
                <w:b/>
                <w:color w:val="auto"/>
                <w:szCs w:val="21"/>
              </w:rPr>
              <w:t>五.其他涉农产业型</w:t>
            </w:r>
          </w:p>
        </w:tc>
      </w:tr>
      <w:tr w14:paraId="476A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exact"/>
          <w:jc w:val="center"/>
        </w:trPr>
        <w:tc>
          <w:tcPr>
            <w:tcW w:w="2429" w:type="dxa"/>
            <w:gridSpan w:val="2"/>
            <w:noWrap w:val="0"/>
            <w:vAlign w:val="center"/>
          </w:tcPr>
          <w:p w14:paraId="6FEDB0B1">
            <w:pPr>
              <w:rPr>
                <w:rFonts w:ascii="华文仿宋" w:hAnsi="华文仿宋" w:eastAsia="华文仿宋" w:cs="宋体"/>
                <w:color w:val="auto"/>
                <w:kern w:val="0"/>
                <w:szCs w:val="21"/>
              </w:rPr>
            </w:pPr>
            <w:r>
              <w:rPr>
                <w:rFonts w:hint="eastAsia" w:ascii="华文仿宋" w:hAnsi="华文仿宋" w:eastAsia="华文仿宋" w:cs="宋体"/>
                <w:color w:val="auto"/>
                <w:kern w:val="0"/>
                <w:szCs w:val="21"/>
              </w:rPr>
              <w:t>一、</w:t>
            </w:r>
            <w:r>
              <w:rPr>
                <w:rFonts w:hint="eastAsia" w:ascii="华文仿宋" w:hAnsi="华文仿宋" w:eastAsia="华文仿宋"/>
                <w:color w:val="auto"/>
                <w:szCs w:val="21"/>
              </w:rPr>
              <w:t>涉农业务收入占总收入的比重</w:t>
            </w:r>
          </w:p>
        </w:tc>
        <w:tc>
          <w:tcPr>
            <w:tcW w:w="12785" w:type="dxa"/>
            <w:gridSpan w:val="5"/>
            <w:tcBorders>
              <w:right w:val="single" w:color="auto" w:sz="4" w:space="0"/>
            </w:tcBorders>
            <w:noWrap w:val="0"/>
            <w:vAlign w:val="center"/>
          </w:tcPr>
          <w:p w14:paraId="72719CAD">
            <w:pPr>
              <w:rPr>
                <w:rFonts w:hint="eastAsia"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51</w:t>
            </w:r>
            <w:r>
              <w:rPr>
                <w:rFonts w:hint="eastAsia" w:ascii="华文仿宋" w:hAnsi="华文仿宋" w:eastAsia="华文仿宋"/>
                <w:color w:val="auto"/>
                <w:szCs w:val="21"/>
              </w:rPr>
              <w:t>%的计20分，达不到的不计分。</w:t>
            </w:r>
          </w:p>
        </w:tc>
      </w:tr>
      <w:tr w14:paraId="0AD5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3" w:hRule="exact"/>
          <w:jc w:val="center"/>
        </w:trPr>
        <w:tc>
          <w:tcPr>
            <w:tcW w:w="934" w:type="dxa"/>
            <w:vMerge w:val="restart"/>
            <w:noWrap w:val="0"/>
            <w:vAlign w:val="center"/>
          </w:tcPr>
          <w:p w14:paraId="71748A1D">
            <w:pPr>
              <w:rPr>
                <w:rFonts w:ascii="华文仿宋" w:hAnsi="华文仿宋" w:eastAsia="华文仿宋" w:cs="宋体"/>
                <w:color w:val="auto"/>
                <w:kern w:val="0"/>
                <w:szCs w:val="21"/>
              </w:rPr>
            </w:pPr>
            <w:r>
              <w:rPr>
                <w:rFonts w:hint="eastAsia" w:ascii="华文仿宋" w:hAnsi="华文仿宋" w:eastAsia="华文仿宋" w:cs="宋体"/>
                <w:color w:val="auto"/>
                <w:kern w:val="0"/>
                <w:szCs w:val="21"/>
              </w:rPr>
              <w:t>二、企</w:t>
            </w:r>
          </w:p>
          <w:p w14:paraId="2E7B5221">
            <w:pPr>
              <w:rPr>
                <w:rFonts w:ascii="华文仿宋" w:hAnsi="华文仿宋" w:eastAsia="华文仿宋" w:cs="宋体"/>
                <w:color w:val="auto"/>
                <w:kern w:val="0"/>
                <w:szCs w:val="21"/>
              </w:rPr>
            </w:pPr>
            <w:r>
              <w:rPr>
                <w:rFonts w:hint="eastAsia" w:ascii="华文仿宋" w:hAnsi="华文仿宋" w:eastAsia="华文仿宋" w:cs="宋体"/>
                <w:color w:val="auto"/>
                <w:kern w:val="0"/>
                <w:szCs w:val="21"/>
              </w:rPr>
              <w:t>业规模</w:t>
            </w:r>
          </w:p>
          <w:p w14:paraId="7D455413">
            <w:pPr>
              <w:adjustRightInd w:val="0"/>
              <w:snapToGrid w:val="0"/>
              <w:ind w:left="-105" w:leftChars="-50" w:right="-105" w:rightChars="-50"/>
              <w:rPr>
                <w:rFonts w:ascii="华文仿宋" w:hAnsi="华文仿宋" w:eastAsia="华文仿宋"/>
                <w:color w:val="auto"/>
                <w:szCs w:val="21"/>
              </w:rPr>
            </w:pPr>
          </w:p>
        </w:tc>
        <w:tc>
          <w:tcPr>
            <w:tcW w:w="1495" w:type="dxa"/>
            <w:noWrap w:val="0"/>
            <w:vAlign w:val="center"/>
          </w:tcPr>
          <w:p w14:paraId="31796921">
            <w:pPr>
              <w:rPr>
                <w:rFonts w:ascii="华文仿宋" w:hAnsi="华文仿宋" w:eastAsia="华文仿宋"/>
                <w:color w:val="auto"/>
                <w:szCs w:val="21"/>
              </w:rPr>
            </w:pPr>
            <w:r>
              <w:rPr>
                <w:rFonts w:hint="eastAsia" w:ascii="华文仿宋" w:hAnsi="华文仿宋" w:eastAsia="华文仿宋"/>
                <w:color w:val="auto"/>
                <w:szCs w:val="21"/>
              </w:rPr>
              <w:t>1.总资产</w:t>
            </w:r>
          </w:p>
        </w:tc>
        <w:tc>
          <w:tcPr>
            <w:tcW w:w="1898" w:type="dxa"/>
            <w:tcBorders>
              <w:right w:val="single" w:color="auto" w:sz="4" w:space="0"/>
            </w:tcBorders>
            <w:noWrap w:val="0"/>
            <w:vAlign w:val="center"/>
          </w:tcPr>
          <w:p w14:paraId="43866D09">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500</w:t>
            </w:r>
            <w:r>
              <w:rPr>
                <w:rFonts w:hint="eastAsia" w:ascii="华文仿宋" w:hAnsi="华文仿宋" w:eastAsia="华文仿宋"/>
                <w:color w:val="auto"/>
                <w:szCs w:val="21"/>
              </w:rPr>
              <w:t>万元计4分，每少</w:t>
            </w:r>
            <w:r>
              <w:rPr>
                <w:rFonts w:hint="eastAsia" w:ascii="华文仿宋" w:hAnsi="华文仿宋" w:eastAsia="华文仿宋"/>
                <w:color w:val="auto"/>
                <w:szCs w:val="21"/>
                <w:lang w:val="en-US" w:eastAsia="zh-CN"/>
              </w:rPr>
              <w:t>50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100</w:t>
            </w:r>
            <w:r>
              <w:rPr>
                <w:rFonts w:hint="eastAsia" w:ascii="华文仿宋" w:hAnsi="华文仿宋" w:eastAsia="华文仿宋"/>
                <w:color w:val="auto"/>
                <w:szCs w:val="21"/>
              </w:rPr>
              <w:t>万元加1分，加分最多不超过4分。</w:t>
            </w:r>
          </w:p>
        </w:tc>
        <w:tc>
          <w:tcPr>
            <w:tcW w:w="2255" w:type="dxa"/>
            <w:tcBorders>
              <w:right w:val="single" w:color="auto" w:sz="4" w:space="0"/>
            </w:tcBorders>
            <w:noWrap w:val="0"/>
            <w:vAlign w:val="center"/>
          </w:tcPr>
          <w:p w14:paraId="73CC5DFB">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1000</w:t>
            </w:r>
            <w:r>
              <w:rPr>
                <w:rFonts w:hint="eastAsia" w:ascii="华文仿宋" w:hAnsi="华文仿宋" w:eastAsia="华文仿宋"/>
                <w:color w:val="auto"/>
                <w:szCs w:val="21"/>
              </w:rPr>
              <w:t>万元计4分，每少</w:t>
            </w:r>
            <w:r>
              <w:rPr>
                <w:rFonts w:hint="eastAsia" w:ascii="华文仿宋" w:hAnsi="华文仿宋" w:eastAsia="华文仿宋"/>
                <w:color w:val="auto"/>
                <w:szCs w:val="21"/>
                <w:lang w:val="en-US" w:eastAsia="zh-CN"/>
              </w:rPr>
              <w:t>100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200</w:t>
            </w:r>
            <w:r>
              <w:rPr>
                <w:rFonts w:hint="eastAsia" w:ascii="华文仿宋" w:hAnsi="华文仿宋" w:eastAsia="华文仿宋"/>
                <w:color w:val="auto"/>
                <w:szCs w:val="21"/>
              </w:rPr>
              <w:t>万元加1分，加分最多不超过4分。</w:t>
            </w:r>
          </w:p>
        </w:tc>
        <w:tc>
          <w:tcPr>
            <w:tcW w:w="2254" w:type="dxa"/>
            <w:tcBorders>
              <w:right w:val="single" w:color="auto" w:sz="4" w:space="0"/>
            </w:tcBorders>
            <w:noWrap w:val="0"/>
            <w:vAlign w:val="center"/>
          </w:tcPr>
          <w:p w14:paraId="5D0CDF27">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2000</w:t>
            </w:r>
            <w:r>
              <w:rPr>
                <w:rFonts w:hint="eastAsia" w:ascii="华文仿宋" w:hAnsi="华文仿宋" w:eastAsia="华文仿宋"/>
                <w:color w:val="auto"/>
                <w:szCs w:val="21"/>
              </w:rPr>
              <w:t>万元计4分，每少</w:t>
            </w:r>
            <w:r>
              <w:rPr>
                <w:rFonts w:hint="eastAsia" w:ascii="华文仿宋" w:hAnsi="华文仿宋" w:eastAsia="华文仿宋"/>
                <w:color w:val="auto"/>
                <w:szCs w:val="21"/>
                <w:lang w:val="en-US" w:eastAsia="zh-CN"/>
              </w:rPr>
              <w:t>200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300</w:t>
            </w:r>
            <w:r>
              <w:rPr>
                <w:rFonts w:hint="eastAsia" w:ascii="华文仿宋" w:hAnsi="华文仿宋" w:eastAsia="华文仿宋"/>
                <w:color w:val="auto"/>
                <w:szCs w:val="21"/>
              </w:rPr>
              <w:t>万元加1分，加分最多不超过4分</w:t>
            </w:r>
            <w:r>
              <w:rPr>
                <w:rFonts w:hint="eastAsia" w:ascii="华文仿宋" w:hAnsi="华文仿宋" w:eastAsia="华文仿宋"/>
                <w:color w:val="auto"/>
                <w:szCs w:val="21"/>
                <w:lang w:eastAsia="zh-CN"/>
              </w:rPr>
              <w:t>。</w:t>
            </w:r>
          </w:p>
        </w:tc>
        <w:tc>
          <w:tcPr>
            <w:tcW w:w="1984" w:type="dxa"/>
            <w:tcBorders>
              <w:right w:val="single" w:color="auto" w:sz="4" w:space="0"/>
            </w:tcBorders>
            <w:noWrap w:val="0"/>
            <w:vAlign w:val="center"/>
          </w:tcPr>
          <w:p w14:paraId="660ADB02">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200</w:t>
            </w:r>
            <w:r>
              <w:rPr>
                <w:rFonts w:hint="eastAsia" w:ascii="华文仿宋" w:hAnsi="华文仿宋" w:eastAsia="华文仿宋"/>
                <w:color w:val="auto"/>
                <w:szCs w:val="21"/>
              </w:rPr>
              <w:t>万元计4分，每少</w:t>
            </w:r>
            <w:r>
              <w:rPr>
                <w:rFonts w:hint="eastAsia" w:ascii="华文仿宋" w:hAnsi="华文仿宋" w:eastAsia="华文仿宋"/>
                <w:color w:val="auto"/>
                <w:szCs w:val="21"/>
                <w:lang w:val="en-US" w:eastAsia="zh-CN"/>
              </w:rPr>
              <w:t>10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50</w:t>
            </w:r>
            <w:r>
              <w:rPr>
                <w:rFonts w:hint="eastAsia" w:ascii="华文仿宋" w:hAnsi="华文仿宋" w:eastAsia="华文仿宋"/>
                <w:color w:val="auto"/>
                <w:szCs w:val="21"/>
              </w:rPr>
              <w:t>万元加1分，加分最多不超过4分</w:t>
            </w:r>
            <w:r>
              <w:rPr>
                <w:rFonts w:hint="eastAsia" w:ascii="华文仿宋" w:hAnsi="华文仿宋" w:eastAsia="华文仿宋"/>
                <w:color w:val="auto"/>
                <w:szCs w:val="21"/>
                <w:lang w:eastAsia="zh-CN"/>
              </w:rPr>
              <w:t>。</w:t>
            </w:r>
          </w:p>
        </w:tc>
        <w:tc>
          <w:tcPr>
            <w:tcW w:w="4394" w:type="dxa"/>
            <w:tcBorders>
              <w:right w:val="single" w:color="auto" w:sz="4" w:space="0"/>
            </w:tcBorders>
            <w:noWrap w:val="0"/>
            <w:vAlign w:val="center"/>
          </w:tcPr>
          <w:p w14:paraId="071E291E">
            <w:pPr>
              <w:rPr>
                <w:rFonts w:hint="eastAsia"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500</w:t>
            </w:r>
            <w:r>
              <w:rPr>
                <w:rFonts w:hint="eastAsia" w:ascii="华文仿宋" w:hAnsi="华文仿宋" w:eastAsia="华文仿宋"/>
                <w:color w:val="auto"/>
                <w:szCs w:val="21"/>
              </w:rPr>
              <w:t>万元（其中：农机、农药（兽药）、饲料和肥料等生产、屠宰服务达到</w:t>
            </w:r>
            <w:r>
              <w:rPr>
                <w:rFonts w:hint="eastAsia" w:ascii="华文仿宋" w:hAnsi="华文仿宋" w:eastAsia="华文仿宋"/>
                <w:color w:val="auto"/>
                <w:szCs w:val="21"/>
                <w:lang w:val="en-US" w:eastAsia="zh-CN"/>
              </w:rPr>
              <w:t>1000</w:t>
            </w:r>
            <w:r>
              <w:rPr>
                <w:rFonts w:hint="eastAsia" w:ascii="华文仿宋" w:hAnsi="华文仿宋" w:eastAsia="华文仿宋"/>
                <w:color w:val="auto"/>
                <w:szCs w:val="21"/>
              </w:rPr>
              <w:t>万元）计4分，每少</w:t>
            </w:r>
            <w:r>
              <w:rPr>
                <w:rFonts w:hint="eastAsia" w:ascii="华文仿宋" w:hAnsi="华文仿宋" w:eastAsia="华文仿宋"/>
                <w:color w:val="auto"/>
                <w:szCs w:val="21"/>
                <w:lang w:val="en-US" w:eastAsia="zh-CN"/>
              </w:rPr>
              <w:t>50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300</w:t>
            </w:r>
            <w:r>
              <w:rPr>
                <w:rFonts w:hint="eastAsia" w:ascii="华文仿宋" w:hAnsi="华文仿宋" w:eastAsia="华文仿宋"/>
                <w:color w:val="auto"/>
                <w:szCs w:val="21"/>
              </w:rPr>
              <w:t>万元加1分，加分最多不超过4分。</w:t>
            </w:r>
          </w:p>
        </w:tc>
      </w:tr>
      <w:tr w14:paraId="0D373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exact"/>
          <w:jc w:val="center"/>
        </w:trPr>
        <w:tc>
          <w:tcPr>
            <w:tcW w:w="934" w:type="dxa"/>
            <w:vMerge w:val="continue"/>
            <w:noWrap w:val="0"/>
            <w:vAlign w:val="center"/>
          </w:tcPr>
          <w:p w14:paraId="4B8D618B">
            <w:pPr>
              <w:rPr>
                <w:rFonts w:ascii="华文仿宋" w:hAnsi="华文仿宋" w:eastAsia="华文仿宋" w:cs="宋体"/>
                <w:color w:val="auto"/>
                <w:kern w:val="0"/>
                <w:szCs w:val="21"/>
              </w:rPr>
            </w:pPr>
          </w:p>
        </w:tc>
        <w:tc>
          <w:tcPr>
            <w:tcW w:w="1495" w:type="dxa"/>
            <w:noWrap w:val="0"/>
            <w:vAlign w:val="center"/>
          </w:tcPr>
          <w:p w14:paraId="6A545C03">
            <w:pPr>
              <w:rPr>
                <w:rFonts w:ascii="华文仿宋" w:hAnsi="华文仿宋" w:eastAsia="华文仿宋"/>
                <w:color w:val="auto"/>
                <w:szCs w:val="21"/>
              </w:rPr>
            </w:pPr>
            <w:r>
              <w:rPr>
                <w:rFonts w:hint="eastAsia" w:ascii="华文仿宋" w:hAnsi="华文仿宋" w:eastAsia="华文仿宋"/>
                <w:color w:val="auto"/>
                <w:szCs w:val="21"/>
              </w:rPr>
              <w:t>2.固定资产</w:t>
            </w:r>
          </w:p>
        </w:tc>
        <w:tc>
          <w:tcPr>
            <w:tcW w:w="1898" w:type="dxa"/>
            <w:tcBorders>
              <w:right w:val="single" w:color="auto" w:sz="4" w:space="0"/>
            </w:tcBorders>
            <w:noWrap w:val="0"/>
            <w:vAlign w:val="center"/>
          </w:tcPr>
          <w:p w14:paraId="3FC170D7">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200</w:t>
            </w:r>
            <w:r>
              <w:rPr>
                <w:rFonts w:hint="eastAsia" w:ascii="华文仿宋" w:hAnsi="华文仿宋" w:eastAsia="华文仿宋"/>
                <w:color w:val="auto"/>
                <w:szCs w:val="21"/>
              </w:rPr>
              <w:t>万元计3分，每少</w:t>
            </w:r>
            <w:r>
              <w:rPr>
                <w:rFonts w:hint="eastAsia" w:ascii="华文仿宋" w:hAnsi="华文仿宋" w:eastAsia="华文仿宋"/>
                <w:color w:val="auto"/>
                <w:szCs w:val="21"/>
                <w:lang w:val="en-US" w:eastAsia="zh-CN"/>
              </w:rPr>
              <w:t>10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20</w:t>
            </w:r>
            <w:r>
              <w:rPr>
                <w:rFonts w:hint="eastAsia" w:ascii="华文仿宋" w:hAnsi="华文仿宋" w:eastAsia="华文仿宋"/>
                <w:color w:val="auto"/>
                <w:szCs w:val="21"/>
              </w:rPr>
              <w:t>万元加1分，加分最多不超过3分。</w:t>
            </w:r>
          </w:p>
        </w:tc>
        <w:tc>
          <w:tcPr>
            <w:tcW w:w="2255" w:type="dxa"/>
            <w:tcBorders>
              <w:right w:val="single" w:color="auto" w:sz="4" w:space="0"/>
            </w:tcBorders>
            <w:noWrap w:val="0"/>
            <w:vAlign w:val="center"/>
          </w:tcPr>
          <w:p w14:paraId="3021E4E8">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300</w:t>
            </w:r>
            <w:r>
              <w:rPr>
                <w:rFonts w:hint="eastAsia" w:ascii="华文仿宋" w:hAnsi="华文仿宋" w:eastAsia="华文仿宋"/>
                <w:color w:val="auto"/>
                <w:szCs w:val="21"/>
              </w:rPr>
              <w:t>万元计3分，每少</w:t>
            </w:r>
            <w:r>
              <w:rPr>
                <w:rFonts w:hint="eastAsia" w:ascii="华文仿宋" w:hAnsi="华文仿宋" w:eastAsia="华文仿宋"/>
                <w:color w:val="auto"/>
                <w:szCs w:val="21"/>
                <w:lang w:val="en-US" w:eastAsia="zh-CN"/>
              </w:rPr>
              <w:t>20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30</w:t>
            </w:r>
            <w:r>
              <w:rPr>
                <w:rFonts w:hint="eastAsia" w:ascii="华文仿宋" w:hAnsi="华文仿宋" w:eastAsia="华文仿宋"/>
                <w:color w:val="auto"/>
                <w:szCs w:val="21"/>
              </w:rPr>
              <w:t>万元加1分，加分最多不超过3分。</w:t>
            </w:r>
          </w:p>
        </w:tc>
        <w:tc>
          <w:tcPr>
            <w:tcW w:w="2254" w:type="dxa"/>
            <w:tcBorders>
              <w:right w:val="single" w:color="auto" w:sz="4" w:space="0"/>
            </w:tcBorders>
            <w:noWrap w:val="0"/>
            <w:vAlign w:val="center"/>
          </w:tcPr>
          <w:p w14:paraId="31005BEB">
            <w:pPr>
              <w:rPr>
                <w:rFonts w:ascii="华文仿宋" w:hAnsi="华文仿宋" w:eastAsia="华文仿宋"/>
                <w:color w:val="auto"/>
                <w:szCs w:val="21"/>
              </w:rPr>
            </w:pPr>
            <w:r>
              <w:rPr>
                <w:rFonts w:hint="eastAsia" w:ascii="华文仿宋" w:hAnsi="华文仿宋" w:eastAsia="华文仿宋"/>
                <w:color w:val="auto"/>
                <w:szCs w:val="21"/>
              </w:rPr>
              <w:t>达</w:t>
            </w:r>
            <w:r>
              <w:rPr>
                <w:rFonts w:hint="eastAsia" w:ascii="华文仿宋" w:hAnsi="华文仿宋" w:eastAsia="华文仿宋"/>
                <w:color w:val="auto"/>
                <w:szCs w:val="21"/>
                <w:lang w:val="en-US" w:eastAsia="zh-CN"/>
              </w:rPr>
              <w:t>1000</w:t>
            </w:r>
            <w:r>
              <w:rPr>
                <w:rFonts w:hint="eastAsia" w:ascii="华文仿宋" w:hAnsi="华文仿宋" w:eastAsia="华文仿宋"/>
                <w:color w:val="auto"/>
                <w:szCs w:val="21"/>
              </w:rPr>
              <w:t>万元计3分，每少</w:t>
            </w:r>
            <w:r>
              <w:rPr>
                <w:rFonts w:hint="eastAsia" w:ascii="华文仿宋" w:hAnsi="华文仿宋" w:eastAsia="华文仿宋"/>
                <w:color w:val="auto"/>
                <w:szCs w:val="21"/>
                <w:lang w:val="en-US" w:eastAsia="zh-CN"/>
              </w:rPr>
              <w:t>200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300</w:t>
            </w:r>
            <w:r>
              <w:rPr>
                <w:rFonts w:hint="eastAsia" w:ascii="华文仿宋" w:hAnsi="华文仿宋" w:eastAsia="华文仿宋"/>
                <w:color w:val="auto"/>
                <w:szCs w:val="21"/>
              </w:rPr>
              <w:t>万元加1分，加分最多不超过3分</w:t>
            </w:r>
            <w:r>
              <w:rPr>
                <w:rFonts w:hint="eastAsia" w:ascii="华文仿宋" w:hAnsi="华文仿宋" w:eastAsia="华文仿宋"/>
                <w:color w:val="auto"/>
                <w:szCs w:val="21"/>
                <w:lang w:eastAsia="zh-CN"/>
              </w:rPr>
              <w:t>。</w:t>
            </w:r>
          </w:p>
        </w:tc>
        <w:tc>
          <w:tcPr>
            <w:tcW w:w="1984" w:type="dxa"/>
            <w:tcBorders>
              <w:right w:val="single" w:color="auto" w:sz="4" w:space="0"/>
            </w:tcBorders>
            <w:noWrap w:val="0"/>
            <w:vAlign w:val="center"/>
          </w:tcPr>
          <w:p w14:paraId="07D14580">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100</w:t>
            </w:r>
            <w:r>
              <w:rPr>
                <w:rFonts w:hint="eastAsia" w:ascii="华文仿宋" w:hAnsi="华文仿宋" w:eastAsia="华文仿宋"/>
                <w:color w:val="auto"/>
                <w:szCs w:val="21"/>
              </w:rPr>
              <w:t>万元计3分，每少</w:t>
            </w:r>
            <w:r>
              <w:rPr>
                <w:rFonts w:hint="eastAsia" w:ascii="华文仿宋" w:hAnsi="华文仿宋" w:eastAsia="华文仿宋"/>
                <w:color w:val="auto"/>
                <w:szCs w:val="21"/>
                <w:lang w:val="en-US" w:eastAsia="zh-CN"/>
              </w:rPr>
              <w:t>10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20</w:t>
            </w:r>
            <w:r>
              <w:rPr>
                <w:rFonts w:hint="eastAsia" w:ascii="华文仿宋" w:hAnsi="华文仿宋" w:eastAsia="华文仿宋"/>
                <w:color w:val="auto"/>
                <w:szCs w:val="21"/>
              </w:rPr>
              <w:t>万元加1分，加分最多不超过3分。</w:t>
            </w:r>
          </w:p>
        </w:tc>
        <w:tc>
          <w:tcPr>
            <w:tcW w:w="4394" w:type="dxa"/>
            <w:tcBorders>
              <w:right w:val="single" w:color="auto" w:sz="4" w:space="0"/>
            </w:tcBorders>
            <w:noWrap w:val="0"/>
            <w:vAlign w:val="center"/>
          </w:tcPr>
          <w:p w14:paraId="1EFD9F68">
            <w:pPr>
              <w:rPr>
                <w:rFonts w:hint="eastAsia"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200</w:t>
            </w:r>
            <w:r>
              <w:rPr>
                <w:rFonts w:hint="eastAsia" w:ascii="华文仿宋" w:hAnsi="华文仿宋" w:eastAsia="华文仿宋"/>
                <w:color w:val="auto"/>
                <w:szCs w:val="21"/>
              </w:rPr>
              <w:t>万元（其中：农机、农药（兽药）、饲料和肥料等生产、屠宰服务达到</w:t>
            </w:r>
            <w:r>
              <w:rPr>
                <w:rFonts w:hint="eastAsia" w:ascii="华文仿宋" w:hAnsi="华文仿宋" w:eastAsia="华文仿宋"/>
                <w:color w:val="auto"/>
                <w:szCs w:val="21"/>
                <w:lang w:val="en-US" w:eastAsia="zh-CN"/>
              </w:rPr>
              <w:t>500</w:t>
            </w:r>
            <w:r>
              <w:rPr>
                <w:rFonts w:hint="eastAsia" w:ascii="华文仿宋" w:hAnsi="华文仿宋" w:eastAsia="华文仿宋"/>
                <w:color w:val="auto"/>
                <w:szCs w:val="21"/>
              </w:rPr>
              <w:t>万元）计3分，每少</w:t>
            </w:r>
            <w:r>
              <w:rPr>
                <w:rFonts w:hint="eastAsia" w:ascii="华文仿宋" w:hAnsi="华文仿宋" w:eastAsia="华文仿宋"/>
                <w:color w:val="auto"/>
                <w:szCs w:val="21"/>
                <w:lang w:val="en-US" w:eastAsia="zh-CN"/>
              </w:rPr>
              <w:t>10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30</w:t>
            </w:r>
            <w:r>
              <w:rPr>
                <w:rFonts w:hint="eastAsia" w:ascii="华文仿宋" w:hAnsi="华文仿宋" w:eastAsia="华文仿宋"/>
                <w:color w:val="auto"/>
                <w:szCs w:val="21"/>
              </w:rPr>
              <w:t>万元加1分，加分最多不超过3分。</w:t>
            </w:r>
          </w:p>
        </w:tc>
      </w:tr>
      <w:tr w14:paraId="2590A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exact"/>
          <w:jc w:val="center"/>
        </w:trPr>
        <w:tc>
          <w:tcPr>
            <w:tcW w:w="934" w:type="dxa"/>
            <w:vMerge w:val="continue"/>
            <w:noWrap w:val="0"/>
            <w:vAlign w:val="center"/>
          </w:tcPr>
          <w:p w14:paraId="50277B18">
            <w:pPr>
              <w:rPr>
                <w:rFonts w:ascii="华文仿宋" w:hAnsi="华文仿宋" w:eastAsia="华文仿宋"/>
                <w:color w:val="auto"/>
                <w:szCs w:val="21"/>
              </w:rPr>
            </w:pPr>
          </w:p>
        </w:tc>
        <w:tc>
          <w:tcPr>
            <w:tcW w:w="1495" w:type="dxa"/>
            <w:noWrap w:val="0"/>
            <w:vAlign w:val="center"/>
          </w:tcPr>
          <w:p w14:paraId="288517EE">
            <w:pPr>
              <w:rPr>
                <w:rFonts w:ascii="华文仿宋" w:hAnsi="华文仿宋" w:eastAsia="华文仿宋"/>
                <w:color w:val="auto"/>
                <w:szCs w:val="21"/>
              </w:rPr>
            </w:pPr>
            <w:r>
              <w:rPr>
                <w:rFonts w:hint="eastAsia" w:ascii="华文仿宋" w:hAnsi="华文仿宋" w:eastAsia="华文仿宋"/>
                <w:color w:val="auto"/>
                <w:szCs w:val="21"/>
              </w:rPr>
              <w:t>3.年销售（营业）收入或交易额</w:t>
            </w:r>
          </w:p>
        </w:tc>
        <w:tc>
          <w:tcPr>
            <w:tcW w:w="1898" w:type="dxa"/>
            <w:tcBorders>
              <w:right w:val="single" w:color="auto" w:sz="4" w:space="0"/>
            </w:tcBorders>
            <w:noWrap w:val="0"/>
            <w:vAlign w:val="center"/>
          </w:tcPr>
          <w:p w14:paraId="2B09F142">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500</w:t>
            </w:r>
            <w:r>
              <w:rPr>
                <w:rFonts w:hint="eastAsia" w:ascii="华文仿宋" w:hAnsi="华文仿宋" w:eastAsia="华文仿宋"/>
                <w:color w:val="auto"/>
                <w:szCs w:val="21"/>
              </w:rPr>
              <w:t>万元计23分。每少</w:t>
            </w:r>
            <w:r>
              <w:rPr>
                <w:rFonts w:hint="eastAsia" w:ascii="华文仿宋" w:hAnsi="华文仿宋" w:eastAsia="华文仿宋"/>
                <w:color w:val="auto"/>
                <w:szCs w:val="21"/>
                <w:lang w:val="en-US" w:eastAsia="zh-CN"/>
              </w:rPr>
              <w:t>20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100</w:t>
            </w:r>
            <w:r>
              <w:rPr>
                <w:rFonts w:hint="eastAsia" w:ascii="华文仿宋" w:hAnsi="华文仿宋" w:eastAsia="华文仿宋"/>
                <w:color w:val="auto"/>
                <w:szCs w:val="21"/>
              </w:rPr>
              <w:t>万元加1分，加分最多不超过3分。</w:t>
            </w:r>
          </w:p>
        </w:tc>
        <w:tc>
          <w:tcPr>
            <w:tcW w:w="2255" w:type="dxa"/>
            <w:tcBorders>
              <w:left w:val="single" w:color="auto" w:sz="4" w:space="0"/>
              <w:right w:val="single" w:color="auto" w:sz="4" w:space="0"/>
            </w:tcBorders>
            <w:noWrap w:val="0"/>
            <w:vAlign w:val="center"/>
          </w:tcPr>
          <w:p w14:paraId="7CBE9373">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1000</w:t>
            </w:r>
            <w:r>
              <w:rPr>
                <w:rFonts w:hint="eastAsia" w:ascii="华文仿宋" w:hAnsi="华文仿宋" w:eastAsia="华文仿宋"/>
                <w:color w:val="auto"/>
                <w:szCs w:val="21"/>
              </w:rPr>
              <w:t>万元计23分。每少</w:t>
            </w:r>
            <w:r>
              <w:rPr>
                <w:rFonts w:hint="eastAsia" w:ascii="华文仿宋" w:hAnsi="华文仿宋" w:eastAsia="华文仿宋"/>
                <w:color w:val="auto"/>
                <w:szCs w:val="21"/>
                <w:lang w:val="en-US" w:eastAsia="zh-CN"/>
              </w:rPr>
              <w:t>30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200</w:t>
            </w:r>
            <w:r>
              <w:rPr>
                <w:rFonts w:hint="eastAsia" w:ascii="华文仿宋" w:hAnsi="华文仿宋" w:eastAsia="华文仿宋"/>
                <w:color w:val="auto"/>
                <w:szCs w:val="21"/>
              </w:rPr>
              <w:t>万元加1分，加分最多不超过3分。</w:t>
            </w:r>
          </w:p>
        </w:tc>
        <w:tc>
          <w:tcPr>
            <w:tcW w:w="2254" w:type="dxa"/>
            <w:tcBorders>
              <w:left w:val="single" w:color="auto" w:sz="4" w:space="0"/>
              <w:right w:val="single" w:color="auto" w:sz="4" w:space="0"/>
            </w:tcBorders>
            <w:noWrap w:val="0"/>
            <w:vAlign w:val="center"/>
          </w:tcPr>
          <w:p w14:paraId="65ED5576">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3</w:t>
            </w:r>
            <w:r>
              <w:rPr>
                <w:rFonts w:hint="eastAsia" w:ascii="华文仿宋" w:hAnsi="华文仿宋" w:eastAsia="华文仿宋"/>
                <w:color w:val="auto"/>
                <w:szCs w:val="21"/>
              </w:rPr>
              <w:t>亿元计23分。每少</w:t>
            </w:r>
            <w:r>
              <w:rPr>
                <w:rFonts w:hint="eastAsia" w:ascii="华文仿宋" w:hAnsi="华文仿宋" w:eastAsia="华文仿宋"/>
                <w:color w:val="auto"/>
                <w:szCs w:val="21"/>
                <w:lang w:val="en-US" w:eastAsia="zh-CN"/>
              </w:rPr>
              <w:t>500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3000</w:t>
            </w:r>
            <w:r>
              <w:rPr>
                <w:rFonts w:hint="eastAsia" w:ascii="华文仿宋" w:hAnsi="华文仿宋" w:eastAsia="华文仿宋"/>
                <w:color w:val="auto"/>
                <w:szCs w:val="21"/>
              </w:rPr>
              <w:t>万元加1分，加分最多不超过3分。</w:t>
            </w:r>
          </w:p>
        </w:tc>
        <w:tc>
          <w:tcPr>
            <w:tcW w:w="1984" w:type="dxa"/>
            <w:tcBorders>
              <w:left w:val="single" w:color="auto" w:sz="4" w:space="0"/>
              <w:right w:val="single" w:color="auto" w:sz="4" w:space="0"/>
            </w:tcBorders>
            <w:noWrap w:val="0"/>
            <w:vAlign w:val="center"/>
          </w:tcPr>
          <w:p w14:paraId="4BDDCB22">
            <w:pPr>
              <w:rPr>
                <w:rFonts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500</w:t>
            </w:r>
            <w:r>
              <w:rPr>
                <w:rFonts w:hint="eastAsia" w:ascii="华文仿宋" w:hAnsi="华文仿宋" w:eastAsia="华文仿宋"/>
                <w:color w:val="auto"/>
                <w:szCs w:val="21"/>
              </w:rPr>
              <w:t>万元以上计23分。每少</w:t>
            </w:r>
            <w:r>
              <w:rPr>
                <w:rFonts w:hint="eastAsia" w:ascii="华文仿宋" w:hAnsi="华文仿宋" w:eastAsia="华文仿宋"/>
                <w:color w:val="auto"/>
                <w:szCs w:val="21"/>
                <w:lang w:val="en-US" w:eastAsia="zh-CN"/>
              </w:rPr>
              <w:t>20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50</w:t>
            </w:r>
            <w:r>
              <w:rPr>
                <w:rFonts w:hint="eastAsia" w:ascii="华文仿宋" w:hAnsi="华文仿宋" w:eastAsia="华文仿宋"/>
                <w:color w:val="auto"/>
                <w:szCs w:val="21"/>
              </w:rPr>
              <w:t>万元加1分，加分最多不超过3分。</w:t>
            </w:r>
          </w:p>
        </w:tc>
        <w:tc>
          <w:tcPr>
            <w:tcW w:w="4394" w:type="dxa"/>
            <w:tcBorders>
              <w:left w:val="single" w:color="auto" w:sz="4" w:space="0"/>
              <w:right w:val="single" w:color="auto" w:sz="4" w:space="0"/>
            </w:tcBorders>
            <w:noWrap w:val="0"/>
            <w:vAlign w:val="center"/>
          </w:tcPr>
          <w:p w14:paraId="2395A525">
            <w:pPr>
              <w:rPr>
                <w:rFonts w:hint="eastAsia" w:ascii="华文仿宋" w:hAnsi="华文仿宋" w:eastAsia="华文仿宋"/>
                <w:color w:val="auto"/>
                <w:szCs w:val="21"/>
              </w:rPr>
            </w:pPr>
            <w:r>
              <w:rPr>
                <w:rFonts w:hint="eastAsia" w:ascii="华文仿宋" w:hAnsi="华文仿宋" w:eastAsia="华文仿宋"/>
                <w:color w:val="auto"/>
                <w:szCs w:val="21"/>
              </w:rPr>
              <w:t>达到</w:t>
            </w:r>
            <w:r>
              <w:rPr>
                <w:rFonts w:hint="eastAsia" w:ascii="华文仿宋" w:hAnsi="华文仿宋" w:eastAsia="华文仿宋"/>
                <w:color w:val="auto"/>
                <w:szCs w:val="21"/>
                <w:lang w:val="en-US" w:eastAsia="zh-CN"/>
              </w:rPr>
              <w:t>400</w:t>
            </w:r>
            <w:r>
              <w:rPr>
                <w:rFonts w:hint="eastAsia" w:ascii="华文仿宋" w:hAnsi="华文仿宋" w:eastAsia="华文仿宋"/>
                <w:color w:val="auto"/>
                <w:szCs w:val="21"/>
              </w:rPr>
              <w:t>万元（其中：农机、农药（兽药）、饲料和肥料等生产、屠宰服务达到</w:t>
            </w:r>
            <w:r>
              <w:rPr>
                <w:rFonts w:hint="eastAsia" w:ascii="华文仿宋" w:hAnsi="华文仿宋" w:eastAsia="华文仿宋"/>
                <w:color w:val="auto"/>
                <w:szCs w:val="21"/>
                <w:lang w:val="en-US" w:eastAsia="zh-CN"/>
              </w:rPr>
              <w:t>2000</w:t>
            </w:r>
            <w:r>
              <w:rPr>
                <w:rFonts w:hint="eastAsia" w:ascii="华文仿宋" w:hAnsi="华文仿宋" w:eastAsia="华文仿宋"/>
                <w:color w:val="auto"/>
                <w:szCs w:val="21"/>
              </w:rPr>
              <w:t>万元)计23分。每少</w:t>
            </w:r>
            <w:r>
              <w:rPr>
                <w:rFonts w:hint="eastAsia" w:ascii="华文仿宋" w:hAnsi="华文仿宋" w:eastAsia="华文仿宋"/>
                <w:color w:val="auto"/>
                <w:szCs w:val="21"/>
                <w:lang w:val="en-US" w:eastAsia="zh-CN"/>
              </w:rPr>
              <w:t>10</w:t>
            </w:r>
            <w:r>
              <w:rPr>
                <w:rFonts w:hint="eastAsia" w:ascii="华文仿宋" w:hAnsi="华文仿宋" w:eastAsia="华文仿宋"/>
                <w:color w:val="auto"/>
                <w:szCs w:val="21"/>
              </w:rPr>
              <w:t>万元（其中：农机、农药（兽药）、饲料和肥料等生产、屠宰服务每少</w:t>
            </w:r>
            <w:r>
              <w:rPr>
                <w:rFonts w:hint="eastAsia" w:ascii="华文仿宋" w:hAnsi="华文仿宋" w:eastAsia="华文仿宋"/>
                <w:color w:val="auto"/>
                <w:szCs w:val="21"/>
                <w:lang w:val="en-US" w:eastAsia="zh-CN"/>
              </w:rPr>
              <w:t>50</w:t>
            </w:r>
            <w:r>
              <w:rPr>
                <w:rFonts w:hint="eastAsia" w:ascii="华文仿宋" w:hAnsi="华文仿宋" w:eastAsia="华文仿宋"/>
                <w:color w:val="auto"/>
                <w:szCs w:val="21"/>
              </w:rPr>
              <w:t>万元）扣1分，每超</w:t>
            </w:r>
            <w:r>
              <w:rPr>
                <w:rFonts w:hint="eastAsia" w:ascii="华文仿宋" w:hAnsi="华文仿宋" w:eastAsia="华文仿宋"/>
                <w:color w:val="auto"/>
                <w:szCs w:val="21"/>
                <w:lang w:val="en-US" w:eastAsia="zh-CN"/>
              </w:rPr>
              <w:t>50</w:t>
            </w:r>
            <w:r>
              <w:rPr>
                <w:rFonts w:hint="eastAsia" w:ascii="华文仿宋" w:hAnsi="华文仿宋" w:eastAsia="华文仿宋"/>
                <w:color w:val="auto"/>
                <w:szCs w:val="21"/>
              </w:rPr>
              <w:t>万元（其中：农机、农药（兽药）、饲料和肥料等生产、屠宰服务每超</w:t>
            </w:r>
            <w:r>
              <w:rPr>
                <w:rFonts w:hint="eastAsia" w:ascii="华文仿宋" w:hAnsi="华文仿宋" w:eastAsia="华文仿宋"/>
                <w:color w:val="auto"/>
                <w:szCs w:val="21"/>
                <w:lang w:val="en-US" w:eastAsia="zh-CN"/>
              </w:rPr>
              <w:t>200</w:t>
            </w:r>
            <w:r>
              <w:rPr>
                <w:rFonts w:hint="eastAsia" w:ascii="华文仿宋" w:hAnsi="华文仿宋" w:eastAsia="华文仿宋"/>
                <w:color w:val="auto"/>
                <w:szCs w:val="21"/>
              </w:rPr>
              <w:t>万元）加1分，加分最多不超过3分。</w:t>
            </w:r>
          </w:p>
        </w:tc>
      </w:tr>
      <w:tr w14:paraId="77B7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exact"/>
          <w:jc w:val="center"/>
        </w:trPr>
        <w:tc>
          <w:tcPr>
            <w:tcW w:w="934" w:type="dxa"/>
            <w:vMerge w:val="restart"/>
            <w:noWrap w:val="0"/>
            <w:vAlign w:val="center"/>
          </w:tcPr>
          <w:p w14:paraId="35629700">
            <w:pPr>
              <w:jc w:val="both"/>
              <w:rPr>
                <w:rFonts w:ascii="华文仿宋" w:hAnsi="华文仿宋" w:eastAsia="华文仿宋"/>
                <w:color w:val="auto"/>
                <w:szCs w:val="21"/>
              </w:rPr>
            </w:pPr>
            <w:r>
              <w:rPr>
                <w:rFonts w:hint="eastAsia" w:ascii="华文仿宋" w:hAnsi="华文仿宋" w:eastAsia="华文仿宋"/>
                <w:color w:val="auto"/>
                <w:szCs w:val="21"/>
              </w:rPr>
              <w:t>三、企</w:t>
            </w:r>
          </w:p>
          <w:p w14:paraId="4623F981">
            <w:pPr>
              <w:jc w:val="both"/>
              <w:rPr>
                <w:rFonts w:ascii="华文仿宋" w:hAnsi="华文仿宋" w:eastAsia="华文仿宋"/>
                <w:color w:val="auto"/>
                <w:szCs w:val="21"/>
              </w:rPr>
            </w:pPr>
            <w:r>
              <w:rPr>
                <w:rFonts w:hint="eastAsia" w:ascii="华文仿宋" w:hAnsi="华文仿宋" w:eastAsia="华文仿宋"/>
                <w:color w:val="auto"/>
                <w:szCs w:val="21"/>
              </w:rPr>
              <w:t>业信用</w:t>
            </w:r>
          </w:p>
          <w:p w14:paraId="7D63F95F">
            <w:pPr>
              <w:jc w:val="both"/>
              <w:rPr>
                <w:rFonts w:ascii="华文仿宋" w:hAnsi="华文仿宋" w:eastAsia="华文仿宋"/>
                <w:color w:val="auto"/>
                <w:szCs w:val="21"/>
              </w:rPr>
            </w:pPr>
          </w:p>
        </w:tc>
        <w:tc>
          <w:tcPr>
            <w:tcW w:w="1495" w:type="dxa"/>
            <w:noWrap w:val="0"/>
            <w:vAlign w:val="center"/>
          </w:tcPr>
          <w:p w14:paraId="7E3BF62F">
            <w:pPr>
              <w:jc w:val="both"/>
              <w:rPr>
                <w:rFonts w:hint="eastAsia" w:ascii="华文仿宋" w:hAnsi="华文仿宋" w:eastAsia="华文仿宋"/>
                <w:color w:val="auto"/>
                <w:szCs w:val="21"/>
              </w:rPr>
            </w:pPr>
            <w:r>
              <w:rPr>
                <w:rFonts w:hint="eastAsia" w:ascii="华文仿宋" w:hAnsi="华文仿宋" w:eastAsia="华文仿宋"/>
                <w:color w:val="auto"/>
                <w:szCs w:val="21"/>
              </w:rPr>
              <w:t>1.纳税情况</w:t>
            </w:r>
          </w:p>
        </w:tc>
        <w:tc>
          <w:tcPr>
            <w:tcW w:w="12785" w:type="dxa"/>
            <w:gridSpan w:val="5"/>
            <w:tcBorders>
              <w:right w:val="single" w:color="auto" w:sz="4" w:space="0"/>
            </w:tcBorders>
            <w:noWrap w:val="0"/>
            <w:vAlign w:val="center"/>
          </w:tcPr>
          <w:p w14:paraId="6FB6C3E9">
            <w:pPr>
              <w:jc w:val="both"/>
              <w:rPr>
                <w:rFonts w:hint="eastAsia" w:ascii="华文仿宋" w:hAnsi="华文仿宋" w:eastAsia="华文仿宋"/>
                <w:color w:val="auto"/>
                <w:szCs w:val="21"/>
              </w:rPr>
            </w:pPr>
            <w:r>
              <w:rPr>
                <w:rFonts w:hint="eastAsia" w:ascii="华文仿宋" w:hAnsi="华文仿宋" w:eastAsia="华文仿宋"/>
                <w:color w:val="auto"/>
                <w:szCs w:val="21"/>
              </w:rPr>
              <w:t>企业审核年度</w:t>
            </w:r>
            <w:r>
              <w:rPr>
                <w:rFonts w:hint="eastAsia" w:ascii="华文仿宋" w:hAnsi="华文仿宋" w:eastAsia="华文仿宋"/>
                <w:color w:val="auto"/>
                <w:sz w:val="24"/>
                <w:vertAlign w:val="superscript"/>
              </w:rPr>
              <w:t>①</w:t>
            </w:r>
            <w:r>
              <w:rPr>
                <w:rFonts w:hint="eastAsia" w:ascii="华文仿宋" w:hAnsi="华文仿宋" w:eastAsia="华文仿宋"/>
                <w:color w:val="auto"/>
                <w:szCs w:val="21"/>
              </w:rPr>
              <w:t>依法纳税的计5分，企业存在因税务稽查产生的税务处罚情况或存在欠税的计0分。</w:t>
            </w:r>
          </w:p>
        </w:tc>
      </w:tr>
      <w:tr w14:paraId="4858D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934" w:type="dxa"/>
            <w:vMerge w:val="continue"/>
            <w:noWrap w:val="0"/>
            <w:vAlign w:val="center"/>
          </w:tcPr>
          <w:p w14:paraId="65436A9A">
            <w:pPr>
              <w:jc w:val="both"/>
              <w:rPr>
                <w:rFonts w:ascii="华文仿宋" w:hAnsi="华文仿宋" w:eastAsia="华文仿宋"/>
                <w:color w:val="auto"/>
                <w:szCs w:val="21"/>
              </w:rPr>
            </w:pPr>
          </w:p>
        </w:tc>
        <w:tc>
          <w:tcPr>
            <w:tcW w:w="1495" w:type="dxa"/>
            <w:noWrap w:val="0"/>
            <w:vAlign w:val="center"/>
          </w:tcPr>
          <w:p w14:paraId="239A20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华文仿宋" w:hAnsi="华文仿宋" w:eastAsia="华文仿宋"/>
                <w:color w:val="auto"/>
                <w:szCs w:val="21"/>
              </w:rPr>
            </w:pPr>
            <w:r>
              <w:rPr>
                <w:rFonts w:hint="eastAsia" w:ascii="华文仿宋" w:hAnsi="华文仿宋" w:eastAsia="华文仿宋"/>
                <w:color w:val="auto"/>
                <w:szCs w:val="21"/>
              </w:rPr>
              <w:t>2.劳动用工管理情况</w:t>
            </w:r>
          </w:p>
        </w:tc>
        <w:tc>
          <w:tcPr>
            <w:tcW w:w="12785" w:type="dxa"/>
            <w:gridSpan w:val="5"/>
            <w:tcBorders>
              <w:right w:val="single" w:color="auto" w:sz="4" w:space="0"/>
            </w:tcBorders>
            <w:noWrap w:val="0"/>
            <w:vAlign w:val="center"/>
          </w:tcPr>
          <w:p w14:paraId="63E684B4">
            <w:pPr>
              <w:jc w:val="both"/>
              <w:rPr>
                <w:rFonts w:hint="eastAsia" w:ascii="华文仿宋" w:hAnsi="华文仿宋" w:eastAsia="华文仿宋"/>
                <w:color w:val="auto"/>
                <w:szCs w:val="21"/>
              </w:rPr>
            </w:pPr>
            <w:r>
              <w:rPr>
                <w:rFonts w:hint="eastAsia" w:ascii="华文仿宋" w:hAnsi="华文仿宋" w:eastAsia="华文仿宋"/>
                <w:color w:val="auto"/>
                <w:szCs w:val="21"/>
              </w:rPr>
              <w:t>企业审核年度没有违反劳动保障法律、法规和规章受到行政处罚的计5分，有受到相关行政处罚的倒扣5分。</w:t>
            </w:r>
          </w:p>
        </w:tc>
      </w:tr>
      <w:tr w14:paraId="2F51D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934" w:type="dxa"/>
            <w:vMerge w:val="continue"/>
            <w:noWrap w:val="0"/>
            <w:vAlign w:val="center"/>
          </w:tcPr>
          <w:p w14:paraId="45703E87">
            <w:pPr>
              <w:jc w:val="both"/>
              <w:rPr>
                <w:rFonts w:ascii="华文仿宋" w:hAnsi="华文仿宋" w:eastAsia="华文仿宋"/>
                <w:color w:val="auto"/>
                <w:szCs w:val="21"/>
              </w:rPr>
            </w:pPr>
          </w:p>
        </w:tc>
        <w:tc>
          <w:tcPr>
            <w:tcW w:w="1495" w:type="dxa"/>
            <w:noWrap w:val="0"/>
            <w:vAlign w:val="center"/>
          </w:tcPr>
          <w:p w14:paraId="60DDD396">
            <w:pPr>
              <w:jc w:val="both"/>
              <w:rPr>
                <w:rFonts w:hint="eastAsia" w:ascii="华文仿宋" w:hAnsi="华文仿宋" w:eastAsia="华文仿宋"/>
                <w:color w:val="auto"/>
                <w:szCs w:val="21"/>
              </w:rPr>
            </w:pPr>
            <w:r>
              <w:rPr>
                <w:rFonts w:hint="eastAsia" w:ascii="华文仿宋" w:hAnsi="华文仿宋" w:eastAsia="华文仿宋"/>
                <w:color w:val="auto"/>
                <w:szCs w:val="21"/>
              </w:rPr>
              <w:t>3.银行信用</w:t>
            </w:r>
          </w:p>
        </w:tc>
        <w:tc>
          <w:tcPr>
            <w:tcW w:w="12785" w:type="dxa"/>
            <w:gridSpan w:val="5"/>
            <w:tcBorders>
              <w:right w:val="single" w:color="auto" w:sz="4" w:space="0"/>
            </w:tcBorders>
            <w:noWrap w:val="0"/>
            <w:vAlign w:val="center"/>
          </w:tcPr>
          <w:p w14:paraId="40F93E7E">
            <w:pPr>
              <w:jc w:val="both"/>
              <w:rPr>
                <w:rFonts w:hint="eastAsia" w:ascii="华文仿宋" w:hAnsi="华文仿宋" w:eastAsia="华文仿宋"/>
                <w:color w:val="auto"/>
                <w:szCs w:val="21"/>
              </w:rPr>
            </w:pPr>
            <w:r>
              <w:rPr>
                <w:rFonts w:hint="eastAsia" w:ascii="华文仿宋" w:hAnsi="华文仿宋" w:eastAsia="华文仿宋"/>
                <w:color w:val="auto"/>
                <w:szCs w:val="21"/>
              </w:rPr>
              <w:t>企业在日常经济往来中守法、诚信、运行正常的计5分，在金融机构中有不良信用记录的倒扣2分。</w:t>
            </w:r>
          </w:p>
        </w:tc>
      </w:tr>
      <w:tr w14:paraId="26926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exact"/>
          <w:jc w:val="center"/>
        </w:trPr>
        <w:tc>
          <w:tcPr>
            <w:tcW w:w="2429" w:type="dxa"/>
            <w:gridSpan w:val="2"/>
            <w:tcBorders>
              <w:bottom w:val="single" w:color="000000" w:sz="4" w:space="0"/>
            </w:tcBorders>
            <w:noWrap w:val="0"/>
            <w:vAlign w:val="center"/>
          </w:tcPr>
          <w:p w14:paraId="06C9B48D">
            <w:pPr>
              <w:jc w:val="left"/>
              <w:rPr>
                <w:rFonts w:ascii="华文仿宋" w:hAnsi="华文仿宋" w:eastAsia="华文仿宋"/>
                <w:b/>
                <w:color w:val="auto"/>
                <w:sz w:val="28"/>
                <w:szCs w:val="28"/>
              </w:rPr>
            </w:pPr>
            <w:r>
              <w:rPr>
                <w:rFonts w:hint="eastAsia" w:ascii="华文仿宋" w:hAnsi="华文仿宋" w:eastAsia="华文仿宋"/>
                <w:color w:val="auto"/>
                <w:szCs w:val="21"/>
              </w:rPr>
              <w:t>四、带动力</w:t>
            </w:r>
          </w:p>
        </w:tc>
        <w:tc>
          <w:tcPr>
            <w:tcW w:w="12785" w:type="dxa"/>
            <w:gridSpan w:val="5"/>
            <w:tcBorders>
              <w:bottom w:val="single" w:color="000000" w:sz="4" w:space="0"/>
              <w:right w:val="single" w:color="auto" w:sz="4" w:space="0"/>
            </w:tcBorders>
            <w:noWrap w:val="0"/>
            <w:vAlign w:val="top"/>
          </w:tcPr>
          <w:p w14:paraId="797B29E2">
            <w:pPr>
              <w:jc w:val="both"/>
              <w:rPr>
                <w:rFonts w:hint="eastAsia" w:ascii="华文仿宋" w:hAnsi="华文仿宋" w:eastAsia="华文仿宋"/>
                <w:color w:val="auto"/>
                <w:szCs w:val="21"/>
                <w:lang w:eastAsia="zh-CN"/>
              </w:rPr>
            </w:pPr>
            <w:r>
              <w:rPr>
                <w:rFonts w:ascii="华文仿宋" w:hAnsi="华文仿宋" w:eastAsia="华文仿宋"/>
                <w:color w:val="auto"/>
                <w:szCs w:val="21"/>
              </w:rPr>
              <w:t>紧密型带动农户</w:t>
            </w:r>
            <w:r>
              <w:rPr>
                <w:rFonts w:hint="eastAsia" w:ascii="华文仿宋" w:hAnsi="华文仿宋" w:eastAsia="华文仿宋"/>
                <w:color w:val="auto"/>
                <w:szCs w:val="21"/>
                <w:lang w:val="en-US" w:eastAsia="zh-CN"/>
              </w:rPr>
              <w:t>40</w:t>
            </w:r>
            <w:r>
              <w:rPr>
                <w:rFonts w:ascii="华文仿宋" w:hAnsi="华文仿宋" w:eastAsia="华文仿宋"/>
                <w:color w:val="auto"/>
                <w:szCs w:val="21"/>
              </w:rPr>
              <w:t>户</w:t>
            </w:r>
            <w:r>
              <w:rPr>
                <w:rFonts w:hint="eastAsia" w:ascii="华文仿宋" w:hAnsi="华文仿宋" w:eastAsia="华文仿宋"/>
                <w:color w:val="auto"/>
                <w:szCs w:val="21"/>
              </w:rPr>
              <w:t>（含同等规模的农民合作社和家庭农场）</w:t>
            </w:r>
            <w:r>
              <w:rPr>
                <w:rFonts w:ascii="华文仿宋" w:hAnsi="华文仿宋" w:eastAsia="华文仿宋"/>
                <w:color w:val="auto"/>
                <w:szCs w:val="21"/>
              </w:rPr>
              <w:t>或松散型带动农户</w:t>
            </w:r>
            <w:r>
              <w:rPr>
                <w:rFonts w:hint="eastAsia" w:ascii="华文仿宋" w:hAnsi="华文仿宋" w:eastAsia="华文仿宋"/>
                <w:color w:val="auto"/>
                <w:szCs w:val="21"/>
                <w:lang w:val="en-US" w:eastAsia="zh-CN"/>
              </w:rPr>
              <w:t>100</w:t>
            </w:r>
            <w:r>
              <w:rPr>
                <w:rFonts w:ascii="华文仿宋" w:hAnsi="华文仿宋" w:eastAsia="华文仿宋"/>
                <w:color w:val="auto"/>
                <w:szCs w:val="21"/>
              </w:rPr>
              <w:t>户的计</w:t>
            </w:r>
            <w:r>
              <w:rPr>
                <w:rFonts w:hint="eastAsia" w:ascii="华文仿宋" w:hAnsi="华文仿宋" w:eastAsia="华文仿宋"/>
                <w:color w:val="auto"/>
                <w:szCs w:val="21"/>
              </w:rPr>
              <w:t>10</w:t>
            </w:r>
            <w:r>
              <w:rPr>
                <w:rFonts w:ascii="华文仿宋" w:hAnsi="华文仿宋" w:eastAsia="华文仿宋"/>
                <w:color w:val="auto"/>
                <w:szCs w:val="21"/>
              </w:rPr>
              <w:t>分，达不到的计0分</w:t>
            </w:r>
            <w:r>
              <w:rPr>
                <w:rFonts w:hint="eastAsia" w:ascii="华文仿宋" w:hAnsi="华文仿宋" w:eastAsia="华文仿宋"/>
                <w:color w:val="auto"/>
                <w:sz w:val="24"/>
                <w:vertAlign w:val="superscript"/>
              </w:rPr>
              <w:t>②</w:t>
            </w:r>
            <w:r>
              <w:rPr>
                <w:rFonts w:hint="eastAsia" w:ascii="华文仿宋" w:hAnsi="华文仿宋" w:eastAsia="华文仿宋"/>
                <w:color w:val="auto"/>
                <w:szCs w:val="21"/>
              </w:rPr>
              <w:t>。</w:t>
            </w:r>
          </w:p>
          <w:p w14:paraId="32A9AE4A">
            <w:pPr>
              <w:jc w:val="both"/>
              <w:rPr>
                <w:rFonts w:hint="eastAsia" w:ascii="华文仿宋" w:hAnsi="华文仿宋" w:eastAsia="华文仿宋"/>
                <w:color w:val="auto"/>
                <w:szCs w:val="21"/>
                <w:lang w:eastAsia="zh-CN"/>
              </w:rPr>
            </w:pPr>
          </w:p>
          <w:p w14:paraId="11731439">
            <w:pPr>
              <w:jc w:val="both"/>
              <w:rPr>
                <w:rFonts w:hint="eastAsia" w:ascii="华文仿宋" w:hAnsi="华文仿宋" w:eastAsia="华文仿宋"/>
                <w:color w:val="auto"/>
                <w:szCs w:val="21"/>
                <w:lang w:eastAsia="zh-CN"/>
              </w:rPr>
            </w:pPr>
          </w:p>
        </w:tc>
      </w:tr>
      <w:tr w14:paraId="4ADA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6" w:hRule="exact"/>
          <w:jc w:val="center"/>
        </w:trPr>
        <w:tc>
          <w:tcPr>
            <w:tcW w:w="2429" w:type="dxa"/>
            <w:gridSpan w:val="2"/>
            <w:noWrap w:val="0"/>
            <w:vAlign w:val="center"/>
          </w:tcPr>
          <w:p w14:paraId="2A92102F">
            <w:pPr>
              <w:rPr>
                <w:rFonts w:ascii="华文仿宋" w:hAnsi="华文仿宋" w:eastAsia="华文仿宋" w:cs="宋体"/>
                <w:color w:val="auto"/>
                <w:kern w:val="0"/>
                <w:szCs w:val="21"/>
              </w:rPr>
            </w:pPr>
            <w:r>
              <w:rPr>
                <w:rFonts w:hint="eastAsia" w:ascii="华文仿宋" w:hAnsi="华文仿宋" w:eastAsia="华文仿宋" w:cs="宋体"/>
                <w:color w:val="auto"/>
                <w:kern w:val="0"/>
                <w:szCs w:val="21"/>
              </w:rPr>
              <w:t>五、竞争力</w:t>
            </w:r>
          </w:p>
        </w:tc>
        <w:tc>
          <w:tcPr>
            <w:tcW w:w="12785" w:type="dxa"/>
            <w:gridSpan w:val="5"/>
            <w:tcBorders>
              <w:right w:val="single" w:color="auto" w:sz="4" w:space="0"/>
            </w:tcBorders>
            <w:noWrap w:val="0"/>
            <w:vAlign w:val="center"/>
          </w:tcPr>
          <w:p w14:paraId="44324542">
            <w:pPr>
              <w:rPr>
                <w:rFonts w:hint="eastAsia" w:ascii="华文仿宋" w:hAnsi="华文仿宋" w:eastAsia="华文仿宋"/>
                <w:color w:val="auto"/>
                <w:szCs w:val="21"/>
              </w:rPr>
            </w:pPr>
            <w:r>
              <w:rPr>
                <w:rFonts w:hint="eastAsia" w:ascii="华文仿宋" w:hAnsi="华文仿宋" w:eastAsia="华文仿宋"/>
                <w:color w:val="auto"/>
                <w:szCs w:val="21"/>
              </w:rPr>
              <w:t>符合以下条件的增计分数，最多增计30分：</w:t>
            </w:r>
          </w:p>
          <w:p w14:paraId="6F358587">
            <w:pPr>
              <w:rPr>
                <w:rFonts w:hint="eastAsia" w:ascii="华文仿宋" w:hAnsi="华文仿宋" w:eastAsia="华文仿宋"/>
                <w:color w:val="auto"/>
                <w:szCs w:val="21"/>
              </w:rPr>
            </w:pPr>
            <w:r>
              <w:rPr>
                <w:rFonts w:hint="eastAsia" w:ascii="华文仿宋" w:hAnsi="华文仿宋" w:eastAsia="华文仿宋"/>
                <w:color w:val="auto"/>
                <w:szCs w:val="21"/>
              </w:rPr>
              <w:t>1.企业生产基地被列为粤港澳“大湾区‘菜篮子’”生产基地的计20分。</w:t>
            </w:r>
          </w:p>
          <w:p w14:paraId="7FA91615">
            <w:pPr>
              <w:rPr>
                <w:rFonts w:hint="eastAsia" w:ascii="华文仿宋" w:hAnsi="华文仿宋" w:eastAsia="华文仿宋"/>
                <w:color w:val="auto"/>
                <w:szCs w:val="21"/>
              </w:rPr>
            </w:pPr>
            <w:r>
              <w:rPr>
                <w:rFonts w:hint="eastAsia" w:ascii="华文仿宋" w:hAnsi="华文仿宋" w:eastAsia="华文仿宋"/>
                <w:color w:val="auto"/>
                <w:szCs w:val="21"/>
              </w:rPr>
              <w:t>2.被评定为农业部农村部畜禽养殖标准化示范场、水产健康养殖示范场或蔬菜（水果）标准园的，计10分。</w:t>
            </w:r>
          </w:p>
          <w:p w14:paraId="6397BDD2">
            <w:pPr>
              <w:rPr>
                <w:rFonts w:hint="eastAsia" w:ascii="华文仿宋" w:hAnsi="华文仿宋" w:eastAsia="华文仿宋"/>
                <w:color w:val="auto"/>
                <w:szCs w:val="21"/>
              </w:rPr>
            </w:pPr>
            <w:r>
              <w:rPr>
                <w:rFonts w:hint="eastAsia" w:ascii="华文仿宋" w:hAnsi="华文仿宋" w:eastAsia="华文仿宋"/>
                <w:color w:val="auto"/>
                <w:szCs w:val="21"/>
              </w:rPr>
              <w:t>3.</w:t>
            </w:r>
            <w:r>
              <w:rPr>
                <w:rFonts w:hint="eastAsia" w:ascii="华文仿宋" w:hAnsi="华文仿宋" w:eastAsia="华文仿宋"/>
                <w:color w:val="auto"/>
                <w:szCs w:val="21"/>
                <w:lang w:eastAsia="zh-CN"/>
              </w:rPr>
              <w:t>获</w:t>
            </w:r>
            <w:r>
              <w:rPr>
                <w:rFonts w:hint="eastAsia" w:ascii="华文仿宋" w:hAnsi="华文仿宋" w:eastAsia="华文仿宋"/>
                <w:color w:val="auto"/>
                <w:szCs w:val="21"/>
              </w:rPr>
              <w:t>市级及以上农业科技成果奖、科技推广奖、高新技术企业资格其中一项的计10分。</w:t>
            </w:r>
          </w:p>
          <w:p w14:paraId="52B83A0E">
            <w:pPr>
              <w:rPr>
                <w:rFonts w:hint="eastAsia" w:ascii="华文仿宋" w:hAnsi="华文仿宋" w:eastAsia="华文仿宋"/>
                <w:color w:val="auto"/>
                <w:szCs w:val="21"/>
              </w:rPr>
            </w:pPr>
            <w:r>
              <w:rPr>
                <w:rFonts w:hint="eastAsia" w:ascii="华文仿宋" w:hAnsi="华文仿宋" w:eastAsia="华文仿宋"/>
                <w:color w:val="auto"/>
                <w:szCs w:val="21"/>
              </w:rPr>
              <w:t>4.获育繁推一体化企业、中国种业骨干企业、种业行业评价A级信用企业、国家级良种场、被认定（或评定）为市级以上（含市级）种业类平台型企业，其中一项的计10分。</w:t>
            </w:r>
          </w:p>
          <w:p w14:paraId="0D49E7D4">
            <w:pPr>
              <w:rPr>
                <w:rFonts w:hint="eastAsia" w:ascii="华文仿宋" w:hAnsi="华文仿宋" w:eastAsia="华文仿宋"/>
                <w:color w:val="auto"/>
                <w:szCs w:val="21"/>
              </w:rPr>
            </w:pPr>
            <w:r>
              <w:rPr>
                <w:rFonts w:hint="eastAsia" w:ascii="华文仿宋" w:hAnsi="华文仿宋" w:eastAsia="华文仿宋"/>
                <w:color w:val="auto"/>
                <w:szCs w:val="21"/>
              </w:rPr>
              <w:t>5.获市级以上休闲农业和乡村旅游示范点、观光休闲农业示范园、农业公园荣誉称号的、被评为3A级及以上旅游景点其中1项的计10分。</w:t>
            </w:r>
          </w:p>
          <w:p w14:paraId="29724842">
            <w:pPr>
              <w:rPr>
                <w:rFonts w:hint="eastAsia" w:ascii="华文仿宋" w:hAnsi="华文仿宋" w:eastAsia="华文仿宋"/>
                <w:color w:val="auto"/>
                <w:szCs w:val="21"/>
              </w:rPr>
            </w:pPr>
            <w:r>
              <w:rPr>
                <w:rFonts w:hint="eastAsia" w:ascii="华文仿宋" w:hAnsi="华文仿宋" w:eastAsia="华文仿宋"/>
                <w:color w:val="auto"/>
                <w:szCs w:val="21"/>
              </w:rPr>
              <w:t>6.获得省级良种场、原种畜禽场或祖代种禽场认定的计8分，获得市级良种场、父母代种禽场或种畜扩繁场认定的计5分，获农作物种子经营（生产经营）许可证的计5分。</w:t>
            </w:r>
          </w:p>
          <w:p w14:paraId="67078E6E">
            <w:pPr>
              <w:rPr>
                <w:rFonts w:hint="eastAsia" w:ascii="华文仿宋" w:hAnsi="华文仿宋" w:eastAsia="华文仿宋"/>
                <w:b w:val="0"/>
                <w:bCs w:val="0"/>
                <w:color w:val="auto"/>
                <w:szCs w:val="21"/>
              </w:rPr>
            </w:pPr>
            <w:r>
              <w:rPr>
                <w:rFonts w:hint="eastAsia" w:ascii="华文仿宋" w:hAnsi="华文仿宋" w:eastAsia="华文仿宋"/>
                <w:color w:val="auto"/>
                <w:szCs w:val="21"/>
              </w:rPr>
              <w:t>7.获</w:t>
            </w:r>
            <w:r>
              <w:rPr>
                <w:rFonts w:ascii="华文仿宋" w:hAnsi="华文仿宋" w:eastAsia="华文仿宋"/>
                <w:color w:val="auto"/>
                <w:szCs w:val="21"/>
              </w:rPr>
              <w:t>著</w:t>
            </w:r>
            <w:r>
              <w:rPr>
                <w:rFonts w:hint="eastAsia" w:ascii="华文仿宋" w:hAnsi="华文仿宋" w:eastAsia="华文仿宋"/>
                <w:color w:val="auto"/>
                <w:szCs w:val="21"/>
              </w:rPr>
              <w:t>（驰）</w:t>
            </w:r>
            <w:r>
              <w:rPr>
                <w:rFonts w:ascii="华文仿宋" w:hAnsi="华文仿宋" w:eastAsia="华文仿宋"/>
                <w:color w:val="auto"/>
                <w:szCs w:val="21"/>
              </w:rPr>
              <w:t>名商标证</w:t>
            </w:r>
            <w:r>
              <w:rPr>
                <w:rFonts w:ascii="华文仿宋" w:hAnsi="华文仿宋" w:eastAsia="华文仿宋"/>
                <w:b w:val="0"/>
                <w:bCs w:val="0"/>
                <w:color w:val="auto"/>
                <w:szCs w:val="21"/>
              </w:rPr>
              <w:t>书、省名牌产品证书</w:t>
            </w:r>
            <w:r>
              <w:rPr>
                <w:rFonts w:hint="eastAsia" w:ascii="华文仿宋" w:hAnsi="华文仿宋" w:eastAsia="华文仿宋"/>
                <w:b w:val="0"/>
                <w:bCs w:val="0"/>
                <w:color w:val="auto"/>
                <w:szCs w:val="21"/>
              </w:rPr>
              <w:t>、广东省菜篮子基地证书、</w:t>
            </w:r>
            <w:r>
              <w:rPr>
                <w:rFonts w:ascii="华文仿宋" w:hAnsi="华文仿宋" w:eastAsia="华文仿宋"/>
                <w:b w:val="0"/>
                <w:bCs w:val="0"/>
                <w:color w:val="auto"/>
                <w:szCs w:val="21"/>
              </w:rPr>
              <w:t>有机食品证书、绿色食品证书、无公害证书、农产品原产地证明</w:t>
            </w:r>
            <w:r>
              <w:rPr>
                <w:rFonts w:hint="eastAsia" w:ascii="华文仿宋" w:hAnsi="华文仿宋" w:eastAsia="华文仿宋"/>
                <w:b w:val="0"/>
                <w:bCs w:val="0"/>
                <w:color w:val="auto"/>
                <w:szCs w:val="21"/>
              </w:rPr>
              <w:t>、地理标志产品证书</w:t>
            </w:r>
            <w:r>
              <w:rPr>
                <w:rFonts w:ascii="华文仿宋" w:hAnsi="华文仿宋" w:eastAsia="华文仿宋"/>
                <w:b w:val="0"/>
                <w:bCs w:val="0"/>
                <w:color w:val="auto"/>
                <w:szCs w:val="21"/>
              </w:rPr>
              <w:t>其中一项</w:t>
            </w:r>
            <w:r>
              <w:rPr>
                <w:rFonts w:hint="eastAsia" w:ascii="华文仿宋" w:hAnsi="华文仿宋" w:eastAsia="华文仿宋"/>
                <w:b w:val="0"/>
                <w:bCs w:val="0"/>
                <w:color w:val="auto"/>
                <w:szCs w:val="21"/>
              </w:rPr>
              <w:t>的计8分；被认定为市级以上农业标准化示范区的计5分。</w:t>
            </w:r>
          </w:p>
          <w:p w14:paraId="05C51C86">
            <w:pPr>
              <w:rPr>
                <w:rFonts w:hint="eastAsia" w:ascii="华文仿宋" w:hAnsi="华文仿宋" w:eastAsia="华文仿宋"/>
                <w:b w:val="0"/>
                <w:bCs w:val="0"/>
                <w:color w:val="auto"/>
                <w:szCs w:val="21"/>
              </w:rPr>
            </w:pPr>
            <w:r>
              <w:rPr>
                <w:rFonts w:hint="eastAsia" w:ascii="华文仿宋" w:hAnsi="华文仿宋" w:eastAsia="华文仿宋"/>
                <w:b w:val="0"/>
                <w:bCs w:val="0"/>
                <w:color w:val="auto"/>
                <w:szCs w:val="21"/>
              </w:rPr>
              <w:t>8.拥有植物新品种权的、一个以上产品获得国家级奖的、商品产值</w:t>
            </w:r>
            <w:r>
              <w:rPr>
                <w:rFonts w:hint="eastAsia" w:ascii="华文仿宋" w:hAnsi="华文仿宋" w:eastAsia="华文仿宋"/>
                <w:b w:val="0"/>
                <w:bCs w:val="0"/>
                <w:color w:val="auto"/>
                <w:szCs w:val="21"/>
                <w:lang w:val="en-US" w:eastAsia="zh-CN"/>
              </w:rPr>
              <w:t>500</w:t>
            </w:r>
            <w:r>
              <w:rPr>
                <w:rFonts w:hint="eastAsia" w:ascii="华文仿宋" w:hAnsi="华文仿宋" w:eastAsia="华文仿宋"/>
                <w:b w:val="0"/>
                <w:bCs w:val="0"/>
                <w:color w:val="auto"/>
                <w:szCs w:val="21"/>
              </w:rPr>
              <w:t>万以上的、占该类品种全国市场份额1%以上的，有其中1项的计7分。</w:t>
            </w:r>
          </w:p>
          <w:p w14:paraId="6439782B">
            <w:pPr>
              <w:rPr>
                <w:rFonts w:hint="eastAsia" w:ascii="华文仿宋" w:hAnsi="华文仿宋" w:eastAsia="华文仿宋"/>
                <w:b w:val="0"/>
                <w:bCs w:val="0"/>
                <w:color w:val="auto"/>
                <w:szCs w:val="21"/>
              </w:rPr>
            </w:pPr>
            <w:r>
              <w:rPr>
                <w:rFonts w:hint="eastAsia" w:ascii="华文仿宋" w:hAnsi="华文仿宋" w:eastAsia="华文仿宋"/>
                <w:b w:val="0"/>
                <w:bCs w:val="0"/>
                <w:color w:val="auto"/>
                <w:szCs w:val="21"/>
              </w:rPr>
              <w:t>9.渔业养殖企业已完成广州市池塘养殖水治理并达到水质要求的</w:t>
            </w:r>
            <w:r>
              <w:rPr>
                <w:rFonts w:ascii="华文仿宋" w:hAnsi="华文仿宋" w:eastAsia="华文仿宋"/>
                <w:b w:val="0"/>
                <w:bCs w:val="0"/>
                <w:color w:val="auto"/>
                <w:szCs w:val="21"/>
              </w:rPr>
              <w:t>计</w:t>
            </w:r>
            <w:r>
              <w:rPr>
                <w:rFonts w:hint="eastAsia" w:ascii="华文仿宋" w:hAnsi="华文仿宋" w:eastAsia="华文仿宋"/>
                <w:b w:val="0"/>
                <w:bCs w:val="0"/>
                <w:color w:val="auto"/>
                <w:szCs w:val="21"/>
              </w:rPr>
              <w:t>3</w:t>
            </w:r>
            <w:r>
              <w:rPr>
                <w:rFonts w:ascii="华文仿宋" w:hAnsi="华文仿宋" w:eastAsia="华文仿宋"/>
                <w:b w:val="0"/>
                <w:bCs w:val="0"/>
                <w:color w:val="auto"/>
                <w:szCs w:val="21"/>
              </w:rPr>
              <w:t>分</w:t>
            </w:r>
            <w:r>
              <w:rPr>
                <w:rFonts w:hint="eastAsia" w:ascii="华文仿宋" w:hAnsi="华文仿宋" w:eastAsia="华文仿宋"/>
                <w:b w:val="0"/>
                <w:bCs w:val="0"/>
                <w:color w:val="auto"/>
                <w:szCs w:val="21"/>
              </w:rPr>
              <w:t>。</w:t>
            </w:r>
          </w:p>
          <w:p w14:paraId="11F82CD0">
            <w:pPr>
              <w:rPr>
                <w:rFonts w:ascii="华文仿宋" w:hAnsi="华文仿宋" w:eastAsia="华文仿宋"/>
                <w:b w:val="0"/>
                <w:bCs w:val="0"/>
                <w:color w:val="auto"/>
                <w:szCs w:val="21"/>
              </w:rPr>
            </w:pPr>
            <w:r>
              <w:rPr>
                <w:rFonts w:hint="eastAsia" w:ascii="华文仿宋" w:hAnsi="华文仿宋" w:eastAsia="华文仿宋"/>
                <w:b w:val="0"/>
                <w:bCs w:val="0"/>
                <w:color w:val="auto"/>
                <w:szCs w:val="21"/>
              </w:rPr>
              <w:t>10.近一年内，粮食、蔬菜、水果类种植企业申报商品有机肥补贴的计3分。</w:t>
            </w:r>
          </w:p>
          <w:p w14:paraId="4D4F8C7A">
            <w:pPr>
              <w:rPr>
                <w:rFonts w:hint="eastAsia" w:ascii="华文仿宋" w:hAnsi="华文仿宋" w:eastAsia="华文仿宋"/>
                <w:b w:val="0"/>
                <w:bCs w:val="0"/>
                <w:color w:val="auto"/>
                <w:szCs w:val="21"/>
              </w:rPr>
            </w:pPr>
            <w:r>
              <w:rPr>
                <w:rFonts w:hint="eastAsia" w:ascii="华文仿宋" w:hAnsi="华文仿宋" w:eastAsia="华文仿宋"/>
                <w:b w:val="0"/>
                <w:bCs w:val="0"/>
                <w:color w:val="auto"/>
                <w:szCs w:val="21"/>
              </w:rPr>
              <w:t>1</w:t>
            </w:r>
            <w:r>
              <w:rPr>
                <w:rFonts w:hint="eastAsia" w:ascii="华文仿宋" w:hAnsi="华文仿宋" w:eastAsia="华文仿宋"/>
                <w:b w:val="0"/>
                <w:bCs w:val="0"/>
                <w:color w:val="auto"/>
                <w:szCs w:val="21"/>
                <w:lang w:val="en-US" w:eastAsia="zh-CN"/>
              </w:rPr>
              <w:t>1</w:t>
            </w:r>
            <w:r>
              <w:rPr>
                <w:rFonts w:hint="eastAsia" w:ascii="华文仿宋" w:hAnsi="华文仿宋" w:eastAsia="华文仿宋"/>
                <w:b w:val="0"/>
                <w:bCs w:val="0"/>
                <w:color w:val="auto"/>
                <w:szCs w:val="21"/>
              </w:rPr>
              <w:t>.能够按照或高于国家标准、行业标准、地方标准进行生产的计2分</w:t>
            </w:r>
            <w:r>
              <w:rPr>
                <w:rFonts w:ascii="华文仿宋" w:hAnsi="华文仿宋" w:eastAsia="华文仿宋"/>
                <w:b w:val="0"/>
                <w:bCs w:val="0"/>
                <w:color w:val="auto"/>
                <w:szCs w:val="21"/>
              </w:rPr>
              <w:t>。</w:t>
            </w:r>
          </w:p>
          <w:p w14:paraId="33248F3B">
            <w:pPr>
              <w:rPr>
                <w:rFonts w:hint="eastAsia" w:ascii="华文仿宋" w:hAnsi="华文仿宋" w:eastAsia="华文仿宋"/>
                <w:b w:val="0"/>
                <w:bCs w:val="0"/>
                <w:color w:val="auto"/>
                <w:szCs w:val="21"/>
              </w:rPr>
            </w:pPr>
            <w:r>
              <w:rPr>
                <w:rFonts w:hint="eastAsia" w:ascii="华文仿宋" w:hAnsi="华文仿宋" w:eastAsia="华文仿宋"/>
                <w:b w:val="0"/>
                <w:bCs w:val="0"/>
                <w:color w:val="auto"/>
                <w:szCs w:val="21"/>
              </w:rPr>
              <w:t>1</w:t>
            </w:r>
            <w:r>
              <w:rPr>
                <w:rFonts w:hint="eastAsia" w:ascii="华文仿宋" w:hAnsi="华文仿宋" w:eastAsia="华文仿宋"/>
                <w:b w:val="0"/>
                <w:bCs w:val="0"/>
                <w:color w:val="auto"/>
                <w:szCs w:val="21"/>
                <w:lang w:val="en-US" w:eastAsia="zh-CN"/>
              </w:rPr>
              <w:t>2</w:t>
            </w:r>
            <w:r>
              <w:rPr>
                <w:rFonts w:hint="eastAsia" w:ascii="华文仿宋" w:hAnsi="华文仿宋" w:eastAsia="华文仿宋"/>
                <w:b w:val="0"/>
                <w:bCs w:val="0"/>
                <w:color w:val="auto"/>
                <w:szCs w:val="21"/>
              </w:rPr>
              <w:t>.农产品加工企业有符合国家环保标准、食品加工卫生标准的加工基地或生产设施，达到一项计5分，达到两项计10分。</w:t>
            </w:r>
          </w:p>
          <w:p w14:paraId="44646FC4">
            <w:pPr>
              <w:rPr>
                <w:rFonts w:hint="eastAsia" w:ascii="华文仿宋" w:hAnsi="华文仿宋" w:eastAsia="华文仿宋"/>
                <w:color w:val="auto"/>
                <w:szCs w:val="21"/>
              </w:rPr>
            </w:pPr>
            <w:r>
              <w:rPr>
                <w:rFonts w:hint="eastAsia" w:ascii="华文仿宋" w:hAnsi="华文仿宋" w:eastAsia="华文仿宋"/>
                <w:b w:val="0"/>
                <w:bCs w:val="0"/>
                <w:color w:val="auto"/>
                <w:szCs w:val="21"/>
              </w:rPr>
              <w:t>1</w:t>
            </w:r>
            <w:r>
              <w:rPr>
                <w:rFonts w:hint="eastAsia" w:ascii="华文仿宋" w:hAnsi="华文仿宋" w:eastAsia="华文仿宋"/>
                <w:b w:val="0"/>
                <w:bCs w:val="0"/>
                <w:color w:val="auto"/>
                <w:szCs w:val="21"/>
                <w:lang w:val="en-US" w:eastAsia="zh-CN"/>
              </w:rPr>
              <w:t>3</w:t>
            </w:r>
            <w:r>
              <w:rPr>
                <w:rFonts w:hint="eastAsia" w:ascii="华文仿宋" w:hAnsi="华文仿宋" w:eastAsia="华文仿宋"/>
                <w:b w:val="0"/>
                <w:bCs w:val="0"/>
                <w:color w:val="auto"/>
                <w:szCs w:val="21"/>
              </w:rPr>
              <w:t>.农产品流通企业、市场带动型企业有符合国家环保要求的交易场地或农产品运输（贮藏）设施，达到一项计5分，达</w:t>
            </w:r>
            <w:r>
              <w:rPr>
                <w:rFonts w:hint="eastAsia" w:ascii="华文仿宋" w:hAnsi="华文仿宋" w:eastAsia="华文仿宋"/>
                <w:color w:val="auto"/>
                <w:szCs w:val="21"/>
              </w:rPr>
              <w:t>到两项计10分。</w:t>
            </w:r>
            <w:r>
              <w:rPr>
                <w:rFonts w:ascii="华文仿宋" w:hAnsi="华文仿宋" w:eastAsia="华文仿宋"/>
                <w:color w:val="auto"/>
                <w:szCs w:val="21"/>
              </w:rPr>
              <w:t xml:space="preserve"> </w:t>
            </w:r>
          </w:p>
          <w:p w14:paraId="19E795F5">
            <w:pPr>
              <w:rPr>
                <w:rFonts w:hint="eastAsia" w:ascii="华文仿宋" w:hAnsi="华文仿宋" w:eastAsia="华文仿宋"/>
                <w:color w:val="auto"/>
                <w:szCs w:val="21"/>
              </w:rPr>
            </w:pPr>
            <w:r>
              <w:rPr>
                <w:rFonts w:hint="eastAsia" w:ascii="华文仿宋" w:hAnsi="华文仿宋" w:eastAsia="华文仿宋"/>
                <w:color w:val="auto"/>
                <w:szCs w:val="21"/>
              </w:rPr>
              <w:t>1</w:t>
            </w:r>
            <w:r>
              <w:rPr>
                <w:rFonts w:hint="eastAsia" w:ascii="华文仿宋" w:hAnsi="华文仿宋" w:eastAsia="华文仿宋"/>
                <w:color w:val="auto"/>
                <w:szCs w:val="21"/>
                <w:lang w:val="en-US" w:eastAsia="zh-CN"/>
              </w:rPr>
              <w:t>4</w:t>
            </w:r>
            <w:r>
              <w:rPr>
                <w:rFonts w:hint="eastAsia" w:ascii="华文仿宋" w:hAnsi="华文仿宋" w:eastAsia="华文仿宋"/>
                <w:color w:val="auto"/>
                <w:szCs w:val="21"/>
              </w:rPr>
              <w:t>.总资产报酬率不低于金融机构一年期银行贷款基准利率的计5分。</w:t>
            </w:r>
          </w:p>
          <w:p w14:paraId="0798D56D">
            <w:pPr>
              <w:rPr>
                <w:rFonts w:ascii="华文仿宋" w:hAnsi="华文仿宋" w:eastAsia="华文仿宋"/>
                <w:color w:val="auto"/>
                <w:szCs w:val="21"/>
              </w:rPr>
            </w:pPr>
            <w:r>
              <w:rPr>
                <w:rFonts w:hint="eastAsia" w:ascii="华文仿宋" w:hAnsi="华文仿宋" w:eastAsia="华文仿宋"/>
                <w:color w:val="auto"/>
                <w:szCs w:val="21"/>
              </w:rPr>
              <w:t>1</w:t>
            </w:r>
            <w:r>
              <w:rPr>
                <w:rFonts w:hint="eastAsia" w:ascii="华文仿宋" w:hAnsi="华文仿宋" w:eastAsia="华文仿宋"/>
                <w:color w:val="auto"/>
                <w:szCs w:val="21"/>
                <w:lang w:val="en-US" w:eastAsia="zh-CN"/>
              </w:rPr>
              <w:t>5</w:t>
            </w:r>
            <w:r>
              <w:rPr>
                <w:rFonts w:hint="eastAsia" w:ascii="华文仿宋" w:hAnsi="华文仿宋" w:eastAsia="华文仿宋"/>
                <w:color w:val="auto"/>
                <w:szCs w:val="21"/>
              </w:rPr>
              <w:t>.有</w:t>
            </w:r>
            <w:r>
              <w:rPr>
                <w:color w:val="auto"/>
              </w:rPr>
              <w:fldChar w:fldCharType="begin"/>
            </w:r>
            <w:r>
              <w:rPr>
                <w:color w:val="auto"/>
              </w:rPr>
              <w:instrText xml:space="preserve">HYPERLINK "http://baike.so.com/doc/5382989-5619372.html" \t "_blank"</w:instrText>
            </w:r>
            <w:r>
              <w:rPr>
                <w:color w:val="auto"/>
              </w:rPr>
              <w:fldChar w:fldCharType="separate"/>
            </w:r>
            <w:r>
              <w:rPr>
                <w:rFonts w:ascii="华文仿宋" w:hAnsi="华文仿宋" w:eastAsia="华文仿宋"/>
                <w:color w:val="auto"/>
              </w:rPr>
              <w:t>发明专利</w:t>
            </w:r>
            <w:r>
              <w:rPr>
                <w:color w:val="auto"/>
              </w:rPr>
              <w:fldChar w:fldCharType="end"/>
            </w:r>
            <w:r>
              <w:rPr>
                <w:rFonts w:hint="eastAsia" w:ascii="华文仿宋" w:hAnsi="华文仿宋" w:eastAsia="华文仿宋"/>
                <w:color w:val="auto"/>
                <w:szCs w:val="21"/>
              </w:rPr>
              <w:t>证书、商标注册证</w:t>
            </w:r>
            <w:r>
              <w:rPr>
                <w:rFonts w:ascii="华文仿宋" w:hAnsi="华文仿宋" w:eastAsia="华文仿宋"/>
                <w:color w:val="auto"/>
                <w:szCs w:val="21"/>
              </w:rPr>
              <w:t>其中一项的</w:t>
            </w:r>
            <w:r>
              <w:rPr>
                <w:rFonts w:hint="eastAsia" w:ascii="华文仿宋" w:hAnsi="华文仿宋" w:eastAsia="华文仿宋"/>
                <w:color w:val="auto"/>
                <w:szCs w:val="21"/>
              </w:rPr>
              <w:t>计</w:t>
            </w:r>
            <w:r>
              <w:rPr>
                <w:rFonts w:hint="eastAsia" w:ascii="华文仿宋" w:hAnsi="华文仿宋" w:eastAsia="华文仿宋"/>
                <w:color w:val="auto"/>
                <w:szCs w:val="21"/>
                <w:lang w:val="en-US" w:eastAsia="zh-CN"/>
              </w:rPr>
              <w:t>5</w:t>
            </w:r>
            <w:r>
              <w:rPr>
                <w:rFonts w:hint="eastAsia" w:ascii="华文仿宋" w:hAnsi="华文仿宋" w:eastAsia="华文仿宋"/>
                <w:color w:val="auto"/>
                <w:szCs w:val="21"/>
              </w:rPr>
              <w:t>分。</w:t>
            </w:r>
          </w:p>
          <w:p w14:paraId="78F84454">
            <w:pPr>
              <w:rPr>
                <w:rFonts w:ascii="华文仿宋" w:hAnsi="华文仿宋" w:eastAsia="华文仿宋"/>
                <w:color w:val="auto"/>
                <w:szCs w:val="21"/>
              </w:rPr>
            </w:pPr>
            <w:r>
              <w:rPr>
                <w:rFonts w:hint="eastAsia" w:ascii="华文仿宋" w:hAnsi="华文仿宋" w:eastAsia="华文仿宋"/>
                <w:color w:val="auto"/>
                <w:szCs w:val="21"/>
                <w:lang w:val="en-US" w:eastAsia="zh-CN"/>
              </w:rPr>
              <w:t>16</w:t>
            </w:r>
            <w:r>
              <w:rPr>
                <w:rFonts w:hint="eastAsia" w:ascii="华文仿宋" w:hAnsi="华文仿宋" w:eastAsia="华文仿宋"/>
                <w:color w:val="auto"/>
                <w:szCs w:val="21"/>
              </w:rPr>
              <w:t>.有企业管理制度和财务制度</w:t>
            </w:r>
            <w:r>
              <w:rPr>
                <w:rFonts w:hint="eastAsia" w:ascii="华文仿宋" w:hAnsi="华文仿宋" w:eastAsia="华文仿宋"/>
                <w:color w:val="auto"/>
                <w:szCs w:val="21"/>
                <w:lang w:eastAsia="zh-CN"/>
              </w:rPr>
              <w:t>、</w:t>
            </w:r>
            <w:r>
              <w:rPr>
                <w:rFonts w:hint="eastAsia" w:ascii="华文仿宋" w:hAnsi="华文仿宋" w:eastAsia="华文仿宋"/>
                <w:color w:val="auto"/>
                <w:szCs w:val="21"/>
              </w:rPr>
              <w:t>通过企业管理体系认证</w:t>
            </w:r>
            <w:r>
              <w:rPr>
                <w:rFonts w:hint="eastAsia" w:ascii="华文仿宋" w:hAnsi="华文仿宋" w:eastAsia="华文仿宋"/>
                <w:color w:val="auto"/>
                <w:szCs w:val="21"/>
                <w:lang w:eastAsia="zh-CN"/>
              </w:rPr>
              <w:t>、通过职业安全与卫生管理体系认证</w:t>
            </w:r>
            <w:r>
              <w:rPr>
                <w:rFonts w:hint="eastAsia" w:ascii="华文仿宋" w:hAnsi="华文仿宋" w:eastAsia="华文仿宋"/>
                <w:color w:val="auto"/>
                <w:szCs w:val="21"/>
              </w:rPr>
              <w:t>，有其中一项的计</w:t>
            </w:r>
            <w:r>
              <w:rPr>
                <w:rFonts w:hint="eastAsia" w:ascii="华文仿宋" w:hAnsi="华文仿宋" w:eastAsia="华文仿宋"/>
                <w:color w:val="auto"/>
                <w:szCs w:val="21"/>
                <w:lang w:val="en-US" w:eastAsia="zh-CN"/>
              </w:rPr>
              <w:t>4</w:t>
            </w:r>
            <w:r>
              <w:rPr>
                <w:rFonts w:hint="eastAsia" w:ascii="华文仿宋" w:hAnsi="华文仿宋" w:eastAsia="华文仿宋"/>
                <w:color w:val="auto"/>
                <w:szCs w:val="21"/>
              </w:rPr>
              <w:t>分。</w:t>
            </w:r>
          </w:p>
          <w:p w14:paraId="3B4766D5">
            <w:pPr>
              <w:rPr>
                <w:rFonts w:hint="eastAsia" w:ascii="华文仿宋" w:hAnsi="华文仿宋" w:eastAsia="华文仿宋"/>
                <w:color w:val="auto"/>
                <w:szCs w:val="21"/>
              </w:rPr>
            </w:pPr>
            <w:r>
              <w:rPr>
                <w:rFonts w:hint="eastAsia" w:ascii="华文仿宋" w:hAnsi="华文仿宋" w:eastAsia="华文仿宋"/>
                <w:color w:val="auto"/>
                <w:szCs w:val="21"/>
              </w:rPr>
              <w:t>1</w:t>
            </w:r>
            <w:r>
              <w:rPr>
                <w:rFonts w:hint="eastAsia" w:ascii="华文仿宋" w:hAnsi="华文仿宋" w:eastAsia="华文仿宋"/>
                <w:color w:val="auto"/>
                <w:szCs w:val="21"/>
                <w:lang w:val="en-US" w:eastAsia="zh-CN"/>
              </w:rPr>
              <w:t>7</w:t>
            </w:r>
            <w:r>
              <w:rPr>
                <w:rFonts w:hint="eastAsia" w:ascii="华文仿宋" w:hAnsi="华文仿宋" w:eastAsia="华文仿宋"/>
                <w:color w:val="auto"/>
                <w:szCs w:val="21"/>
              </w:rPr>
              <w:t>.</w:t>
            </w:r>
            <w:r>
              <w:rPr>
                <w:rFonts w:ascii="华文仿宋" w:hAnsi="华文仿宋" w:eastAsia="华文仿宋"/>
                <w:color w:val="auto"/>
                <w:szCs w:val="21"/>
              </w:rPr>
              <w:t>被评为环保诚信企业或环保良好企业、守合同重信用企业称号其中一项的计</w:t>
            </w:r>
            <w:r>
              <w:rPr>
                <w:rFonts w:hint="eastAsia" w:ascii="华文仿宋" w:hAnsi="华文仿宋" w:eastAsia="华文仿宋"/>
                <w:color w:val="auto"/>
                <w:szCs w:val="21"/>
              </w:rPr>
              <w:t>3</w:t>
            </w:r>
            <w:r>
              <w:rPr>
                <w:rFonts w:ascii="华文仿宋" w:hAnsi="华文仿宋" w:eastAsia="华文仿宋"/>
                <w:color w:val="auto"/>
                <w:szCs w:val="21"/>
              </w:rPr>
              <w:t>分</w:t>
            </w:r>
            <w:r>
              <w:rPr>
                <w:rFonts w:hint="eastAsia" w:ascii="华文仿宋" w:hAnsi="华文仿宋" w:eastAsia="华文仿宋"/>
                <w:color w:val="auto"/>
                <w:szCs w:val="21"/>
              </w:rPr>
              <w:t>。</w:t>
            </w:r>
          </w:p>
        </w:tc>
      </w:tr>
    </w:tbl>
    <w:p w14:paraId="49974165">
      <w:pPr>
        <w:keepNext w:val="0"/>
        <w:keepLines w:val="0"/>
        <w:pageBreakBefore w:val="0"/>
        <w:widowControl w:val="0"/>
        <w:kinsoku/>
        <w:wordWrap/>
        <w:overflowPunct/>
        <w:topLinePunct w:val="0"/>
        <w:autoSpaceDE/>
        <w:autoSpaceDN/>
        <w:bidi w:val="0"/>
        <w:adjustRightInd/>
        <w:snapToGrid/>
        <w:textAlignment w:val="auto"/>
        <w:rPr>
          <w:rFonts w:hint="eastAsia" w:ascii="华文仿宋" w:hAnsi="华文仿宋" w:eastAsia="华文仿宋" w:cs="Times New Roman"/>
          <w:color w:val="auto"/>
          <w:szCs w:val="21"/>
        </w:rPr>
      </w:pPr>
      <w:r>
        <w:rPr>
          <w:rFonts w:hint="eastAsia" w:ascii="黑体" w:hAnsi="黑体" w:eastAsia="黑体"/>
          <w:color w:val="auto"/>
          <w:sz w:val="24"/>
        </w:rPr>
        <w:t>备注：</w:t>
      </w:r>
      <w:r>
        <w:rPr>
          <w:rFonts w:hint="eastAsia" w:ascii="黑体" w:hAnsi="黑体" w:eastAsia="黑体"/>
          <w:color w:val="auto"/>
          <w:sz w:val="24"/>
          <w:lang w:val="en-US" w:eastAsia="zh-CN"/>
        </w:rPr>
        <w:t xml:space="preserve"> </w:t>
      </w:r>
      <w:r>
        <w:rPr>
          <w:rFonts w:hint="eastAsia" w:ascii="华文仿宋" w:hAnsi="华文仿宋" w:eastAsia="华文仿宋" w:cs="Times New Roman"/>
          <w:color w:val="auto"/>
          <w:szCs w:val="21"/>
        </w:rPr>
        <w:t>①本办法的审核年度指从当年开展</w:t>
      </w:r>
      <w:r>
        <w:rPr>
          <w:rFonts w:hint="eastAsia" w:ascii="华文仿宋" w:hAnsi="华文仿宋" w:eastAsia="华文仿宋" w:cs="Times New Roman"/>
          <w:color w:val="auto"/>
          <w:szCs w:val="21"/>
          <w:lang w:eastAsia="zh-CN"/>
        </w:rPr>
        <w:t>区</w:t>
      </w:r>
      <w:r>
        <w:rPr>
          <w:rFonts w:hint="eastAsia" w:ascii="华文仿宋" w:hAnsi="华文仿宋" w:eastAsia="华文仿宋" w:cs="Times New Roman"/>
          <w:color w:val="auto"/>
          <w:szCs w:val="21"/>
        </w:rPr>
        <w:t>级农业龙头企业认定通知印发之日起上溯一年计算。</w:t>
      </w:r>
    </w:p>
    <w:p w14:paraId="5E5FFC2E">
      <w:pPr>
        <w:keepNext w:val="0"/>
        <w:keepLines w:val="0"/>
        <w:pageBreakBefore w:val="0"/>
        <w:widowControl w:val="0"/>
        <w:kinsoku/>
        <w:wordWrap/>
        <w:overflowPunct/>
        <w:topLinePunct w:val="0"/>
        <w:autoSpaceDE/>
        <w:autoSpaceDN/>
        <w:bidi w:val="0"/>
        <w:adjustRightInd/>
        <w:snapToGrid/>
        <w:ind w:left="1050" w:hanging="1050" w:hangingChars="500"/>
        <w:textAlignment w:val="auto"/>
        <w:rPr>
          <w:rFonts w:ascii="华文仿宋" w:hAnsi="华文仿宋" w:eastAsia="华文仿宋" w:cs="Times New Roman"/>
          <w:color w:val="auto"/>
          <w:szCs w:val="21"/>
        </w:rPr>
      </w:pPr>
      <w:r>
        <w:rPr>
          <w:rFonts w:hint="eastAsia" w:ascii="华文仿宋" w:hAnsi="华文仿宋" w:eastAsia="华文仿宋" w:cs="Times New Roman"/>
          <w:color w:val="auto"/>
          <w:szCs w:val="21"/>
        </w:rPr>
        <w:t xml:space="preserve">       </w:t>
      </w:r>
      <w:r>
        <w:rPr>
          <w:rFonts w:hint="eastAsia" w:ascii="华文仿宋" w:hAnsi="华文仿宋" w:eastAsia="华文仿宋" w:cs="Times New Roman"/>
          <w:color w:val="auto"/>
          <w:szCs w:val="21"/>
          <w:lang w:val="en-US" w:eastAsia="zh-CN"/>
        </w:rPr>
        <w:t xml:space="preserve"> </w:t>
      </w:r>
      <w:r>
        <w:rPr>
          <w:rFonts w:hint="eastAsia" w:ascii="华文仿宋" w:hAnsi="华文仿宋" w:eastAsia="华文仿宋" w:cs="Times New Roman"/>
          <w:color w:val="auto"/>
          <w:szCs w:val="21"/>
        </w:rPr>
        <w:t>②本办法所指的紧密型带动农户，指吸收就业、订单收购、租用农地、租用农房等形式带动农户，以</w:t>
      </w:r>
      <w:r>
        <w:rPr>
          <w:rFonts w:ascii="华文仿宋" w:hAnsi="华文仿宋" w:eastAsia="华文仿宋" w:cs="Times New Roman"/>
          <w:color w:val="auto"/>
          <w:szCs w:val="21"/>
        </w:rPr>
        <w:t>订单</w:t>
      </w:r>
      <w:r>
        <w:rPr>
          <w:rFonts w:hint="eastAsia" w:ascii="华文仿宋" w:hAnsi="华文仿宋" w:eastAsia="华文仿宋" w:cs="Times New Roman"/>
          <w:color w:val="auto"/>
          <w:szCs w:val="21"/>
        </w:rPr>
        <w:t>、</w:t>
      </w:r>
      <w:r>
        <w:rPr>
          <w:rFonts w:ascii="华文仿宋" w:hAnsi="华文仿宋" w:eastAsia="华文仿宋" w:cs="Times New Roman"/>
          <w:color w:val="auto"/>
          <w:szCs w:val="21"/>
        </w:rPr>
        <w:t>合同</w:t>
      </w:r>
      <w:r>
        <w:rPr>
          <w:rFonts w:hint="eastAsia" w:ascii="华文仿宋" w:hAnsi="华文仿宋" w:eastAsia="华文仿宋" w:cs="Times New Roman"/>
          <w:color w:val="auto"/>
          <w:szCs w:val="21"/>
        </w:rPr>
        <w:t>、</w:t>
      </w:r>
      <w:r>
        <w:rPr>
          <w:rFonts w:ascii="华文仿宋" w:hAnsi="华文仿宋" w:eastAsia="华文仿宋" w:cs="Times New Roman"/>
          <w:color w:val="auto"/>
          <w:szCs w:val="21"/>
        </w:rPr>
        <w:t>工资发放的会计凭证为准</w:t>
      </w:r>
      <w:r>
        <w:rPr>
          <w:rFonts w:hint="eastAsia" w:ascii="华文仿宋" w:hAnsi="华文仿宋" w:eastAsia="华文仿宋" w:cs="Times New Roman"/>
          <w:color w:val="auto"/>
          <w:szCs w:val="21"/>
        </w:rPr>
        <w:t>。松</w:t>
      </w:r>
      <w:r>
        <w:rPr>
          <w:rFonts w:ascii="华文仿宋" w:hAnsi="华文仿宋" w:eastAsia="华文仿宋" w:cs="Times New Roman"/>
          <w:color w:val="auto"/>
          <w:szCs w:val="21"/>
        </w:rPr>
        <w:t>散型带动农户</w:t>
      </w:r>
      <w:r>
        <w:rPr>
          <w:rFonts w:hint="eastAsia" w:ascii="华文仿宋" w:hAnsi="华文仿宋" w:eastAsia="华文仿宋" w:cs="Times New Roman"/>
          <w:color w:val="auto"/>
          <w:szCs w:val="21"/>
        </w:rPr>
        <w:t>指</w:t>
      </w:r>
      <w:r>
        <w:rPr>
          <w:rFonts w:ascii="华文仿宋" w:hAnsi="华文仿宋" w:eastAsia="华文仿宋" w:cs="Times New Roman"/>
          <w:color w:val="auto"/>
          <w:szCs w:val="21"/>
        </w:rPr>
        <w:t>收购农产品、</w:t>
      </w:r>
      <w:r>
        <w:rPr>
          <w:rFonts w:hint="eastAsia" w:ascii="华文仿宋" w:hAnsi="华文仿宋" w:eastAsia="华文仿宋" w:cs="Times New Roman"/>
          <w:color w:val="auto"/>
          <w:szCs w:val="21"/>
        </w:rPr>
        <w:t>开展</w:t>
      </w:r>
      <w:r>
        <w:rPr>
          <w:rFonts w:ascii="华文仿宋" w:hAnsi="华文仿宋" w:eastAsia="华文仿宋" w:cs="Times New Roman"/>
          <w:color w:val="auto"/>
          <w:szCs w:val="21"/>
        </w:rPr>
        <w:t>技术培训</w:t>
      </w:r>
      <w:r>
        <w:rPr>
          <w:rFonts w:hint="eastAsia" w:ascii="华文仿宋" w:hAnsi="华文仿宋" w:eastAsia="华文仿宋" w:cs="Times New Roman"/>
          <w:color w:val="auto"/>
          <w:szCs w:val="21"/>
        </w:rPr>
        <w:t>、提供技术</w:t>
      </w:r>
      <w:r>
        <w:rPr>
          <w:rFonts w:ascii="华文仿宋" w:hAnsi="华文仿宋" w:eastAsia="华文仿宋" w:cs="Times New Roman"/>
          <w:color w:val="auto"/>
          <w:szCs w:val="21"/>
        </w:rPr>
        <w:t>服务</w:t>
      </w:r>
      <w:r>
        <w:rPr>
          <w:rFonts w:hint="eastAsia" w:ascii="华文仿宋" w:hAnsi="华文仿宋" w:eastAsia="华文仿宋" w:cs="Times New Roman"/>
          <w:color w:val="auto"/>
          <w:szCs w:val="21"/>
        </w:rPr>
        <w:t>、提供经营场地、产品或服务辐射</w:t>
      </w:r>
      <w:r>
        <w:rPr>
          <w:rFonts w:ascii="华文仿宋" w:hAnsi="华文仿宋" w:eastAsia="华文仿宋" w:cs="Times New Roman"/>
          <w:color w:val="auto"/>
          <w:szCs w:val="21"/>
        </w:rPr>
        <w:t>等，以合同</w:t>
      </w:r>
      <w:r>
        <w:rPr>
          <w:rFonts w:hint="eastAsia" w:ascii="华文仿宋" w:hAnsi="华文仿宋" w:eastAsia="华文仿宋" w:cs="Times New Roman"/>
          <w:color w:val="auto"/>
          <w:szCs w:val="21"/>
        </w:rPr>
        <w:t>、</w:t>
      </w:r>
      <w:r>
        <w:rPr>
          <w:rFonts w:ascii="华文仿宋" w:hAnsi="华文仿宋" w:eastAsia="华文仿宋" w:cs="Times New Roman"/>
          <w:color w:val="auto"/>
          <w:szCs w:val="21"/>
        </w:rPr>
        <w:t>会计凭证、培训记录</w:t>
      </w:r>
      <w:r>
        <w:rPr>
          <w:rFonts w:hint="eastAsia" w:ascii="华文仿宋" w:hAnsi="华文仿宋" w:eastAsia="华文仿宋" w:cs="Times New Roman"/>
          <w:color w:val="auto"/>
          <w:szCs w:val="21"/>
        </w:rPr>
        <w:t>、台账</w:t>
      </w:r>
      <w:r>
        <w:rPr>
          <w:rFonts w:ascii="华文仿宋" w:hAnsi="华文仿宋" w:eastAsia="华文仿宋" w:cs="Times New Roman"/>
          <w:color w:val="auto"/>
          <w:szCs w:val="21"/>
        </w:rPr>
        <w:t>等为准</w:t>
      </w:r>
      <w:r>
        <w:rPr>
          <w:rFonts w:hint="eastAsia" w:ascii="华文仿宋" w:hAnsi="华文仿宋" w:eastAsia="华文仿宋" w:cs="Times New Roman"/>
          <w:color w:val="auto"/>
          <w:szCs w:val="21"/>
        </w:rPr>
        <w:t>。</w:t>
      </w:r>
      <w:r>
        <w:rPr>
          <w:rFonts w:ascii="华文仿宋" w:hAnsi="华文仿宋" w:eastAsia="华文仿宋" w:cs="Times New Roman"/>
          <w:color w:val="auto"/>
          <w:szCs w:val="21"/>
        </w:rPr>
        <w:t>紧密型带动农户数与松散型带动农户数可以按1:5折算，达到一项</w:t>
      </w:r>
      <w:r>
        <w:rPr>
          <w:rFonts w:hint="eastAsia" w:ascii="华文仿宋" w:hAnsi="华文仿宋" w:eastAsia="华文仿宋" w:cs="Times New Roman"/>
          <w:color w:val="auto"/>
          <w:szCs w:val="21"/>
        </w:rPr>
        <w:t>或折算后总和达到其中一项</w:t>
      </w:r>
      <w:r>
        <w:rPr>
          <w:rFonts w:ascii="华文仿宋" w:hAnsi="华文仿宋" w:eastAsia="华文仿宋" w:cs="Times New Roman"/>
          <w:color w:val="auto"/>
          <w:szCs w:val="21"/>
        </w:rPr>
        <w:t>即可。</w:t>
      </w:r>
    </w:p>
    <w:p w14:paraId="65F7DB8A">
      <w:pPr>
        <w:keepNext w:val="0"/>
        <w:keepLines w:val="0"/>
        <w:pageBreakBefore w:val="0"/>
        <w:widowControl w:val="0"/>
        <w:kinsoku/>
        <w:wordWrap/>
        <w:overflowPunct/>
        <w:topLinePunct w:val="0"/>
        <w:autoSpaceDE/>
        <w:autoSpaceDN/>
        <w:bidi w:val="0"/>
        <w:adjustRightInd/>
        <w:snapToGrid/>
        <w:spacing w:beforeLines="0" w:afterLines="0"/>
        <w:ind w:firstLine="840" w:firstLineChars="400"/>
        <w:textAlignment w:val="auto"/>
        <w:rPr>
          <w:rFonts w:hint="eastAsia" w:ascii="华文仿宋" w:hAnsi="华文仿宋" w:eastAsia="华文仿宋"/>
          <w:color w:val="auto"/>
          <w:szCs w:val="21"/>
        </w:rPr>
      </w:pPr>
      <w:r>
        <w:rPr>
          <w:rFonts w:hint="eastAsia" w:ascii="华文仿宋" w:hAnsi="华文仿宋" w:eastAsia="华文仿宋"/>
          <w:color w:val="auto"/>
          <w:szCs w:val="21"/>
        </w:rPr>
        <w:t>③企业相关证书认证、称号评定已完成审核，但尚未公示或批复的，原则上予以认定。</w:t>
      </w:r>
    </w:p>
    <w:p w14:paraId="744FC835">
      <w:pPr>
        <w:keepNext w:val="0"/>
        <w:keepLines w:val="0"/>
        <w:pageBreakBefore w:val="0"/>
        <w:widowControl w:val="0"/>
        <w:kinsoku/>
        <w:wordWrap/>
        <w:overflowPunct/>
        <w:topLinePunct w:val="0"/>
        <w:autoSpaceDE/>
        <w:autoSpaceDN/>
        <w:bidi w:val="0"/>
        <w:adjustRightInd/>
        <w:snapToGrid/>
        <w:spacing w:beforeLines="0" w:afterLines="0"/>
        <w:ind w:left="1050" w:leftChars="400" w:hanging="210" w:hangingChars="100"/>
        <w:textAlignment w:val="auto"/>
        <w:rPr>
          <w:rFonts w:hint="eastAsia" w:ascii="华文仿宋" w:hAnsi="华文仿宋" w:eastAsia="华文仿宋"/>
          <w:color w:val="auto"/>
          <w:szCs w:val="21"/>
        </w:rPr>
      </w:pPr>
      <w:r>
        <w:rPr>
          <w:rFonts w:hint="eastAsia" w:ascii="华文仿宋" w:hAnsi="华文仿宋" w:eastAsia="华文仿宋"/>
          <w:color w:val="auto"/>
          <w:szCs w:val="21"/>
        </w:rPr>
        <w:t>④对于复合型企业，以其比重最大的产业类别确定其企业类型，各评分项可根据企业实际情况叠加计分。如比重最大产业类别不能满足申报要件，且比重第二大的产业超过对应类别企业认定标准中年销售收入或营业额标准60%以上的，可以按第二大的产业类别确定其企业类型，各评分项可根据企业实际情况叠加计分。</w:t>
      </w:r>
    </w:p>
    <w:p w14:paraId="55174C70">
      <w:pPr>
        <w:keepNext w:val="0"/>
        <w:keepLines w:val="0"/>
        <w:pageBreakBefore w:val="0"/>
        <w:widowControl w:val="0"/>
        <w:kinsoku/>
        <w:wordWrap/>
        <w:overflowPunct/>
        <w:topLinePunct w:val="0"/>
        <w:autoSpaceDE/>
        <w:autoSpaceDN/>
        <w:bidi w:val="0"/>
        <w:adjustRightInd/>
        <w:snapToGrid/>
        <w:spacing w:beforeLines="0" w:afterLines="0"/>
        <w:ind w:firstLine="840" w:firstLineChars="400"/>
        <w:textAlignment w:val="auto"/>
        <w:rPr>
          <w:rFonts w:ascii="华文仿宋" w:hAnsi="华文仿宋" w:eastAsia="华文仿宋"/>
          <w:color w:val="auto"/>
          <w:szCs w:val="21"/>
        </w:rPr>
      </w:pPr>
      <w:r>
        <w:rPr>
          <w:rFonts w:hint="eastAsia" w:ascii="华文仿宋" w:hAnsi="华文仿宋" w:eastAsia="华文仿宋"/>
          <w:color w:val="auto"/>
          <w:szCs w:val="21"/>
        </w:rPr>
        <w:t>⑤本办法中“总资产”、“固定资产”和“年销售（营业）收入或交易额”三个指标不执行倒扣分制度。</w:t>
      </w:r>
    </w:p>
    <w:p w14:paraId="4E115859"/>
    <w:sectPr>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WJkY2VlMTBiMWQ3YjUxNTdhNTgwNWEyMTM2OTYifQ=="/>
  </w:docVars>
  <w:rsids>
    <w:rsidRoot w:val="00000000"/>
    <w:rsid w:val="035270F4"/>
    <w:rsid w:val="15883FAE"/>
    <w:rsid w:val="16375D0B"/>
    <w:rsid w:val="18BB4BF1"/>
    <w:rsid w:val="29A02C2B"/>
    <w:rsid w:val="2D0C0D91"/>
    <w:rsid w:val="2D7A6297"/>
    <w:rsid w:val="34FE69C1"/>
    <w:rsid w:val="3CD80359"/>
    <w:rsid w:val="5D785315"/>
    <w:rsid w:val="75A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spacing w:line="570" w:lineRule="exact"/>
      <w:jc w:val="center"/>
      <w:outlineLvl w:val="0"/>
    </w:pPr>
    <w:rPr>
      <w:rFonts w:ascii="方正小标宋简体" w:hAnsi="方正小标宋简体" w:eastAsia="方正小标宋简体" w:cs="Times New Roman"/>
      <w:sz w:val="48"/>
      <w:szCs w:val="44"/>
    </w:rPr>
  </w:style>
  <w:style w:type="paragraph" w:styleId="4">
    <w:name w:val="heading 2"/>
    <w:basedOn w:val="1"/>
    <w:next w:val="1"/>
    <w:semiHidden/>
    <w:unhideWhenUsed/>
    <w:qFormat/>
    <w:uiPriority w:val="0"/>
    <w:pPr>
      <w:keepNext/>
      <w:keepLines/>
      <w:tabs>
        <w:tab w:val="left" w:pos="780"/>
      </w:tabs>
      <w:spacing w:beforeLines="0" w:beforeAutospacing="0" w:afterLines="0" w:afterAutospacing="0" w:line="570" w:lineRule="exact"/>
      <w:ind w:firstLine="0" w:firstLineChars="0"/>
      <w:jc w:val="center"/>
      <w:outlineLvl w:val="1"/>
    </w:pPr>
    <w:rPr>
      <w:rFonts w:hint="eastAsia" w:ascii="Arial" w:hAnsi="Arial" w:eastAsia="方正楷体_GB2312" w:cs="宋体"/>
      <w:szCs w:val="48"/>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footer"/>
    <w:basedOn w:val="1"/>
    <w:uiPriority w:val="0"/>
    <w:pPr>
      <w:tabs>
        <w:tab w:val="center" w:pos="4153"/>
        <w:tab w:val="right" w:pos="8306"/>
      </w:tabs>
      <w:snapToGrid w:val="0"/>
      <w:jc w:val="left"/>
    </w:pPr>
    <w:rPr>
      <w:sz w:val="18"/>
      <w:szCs w:val="18"/>
    </w:rPr>
  </w:style>
  <w:style w:type="character" w:customStyle="1" w:styleId="8">
    <w:name w:val="标题 1 Char"/>
    <w:link w:val="3"/>
    <w:qFormat/>
    <w:uiPriority w:val="0"/>
    <w:rPr>
      <w:rFonts w:hint="eastAsia" w:ascii="宋体" w:hAnsi="宋体" w:eastAsia="方正小标宋简体" w:cs="Times New Roman"/>
      <w:bCs/>
      <w:kern w:val="44"/>
      <w:sz w:val="40"/>
      <w:szCs w:val="4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2023-02-10T07:56:00Z</dcterms:created>
  <dc:creator>Administrator</dc:creator>
  <cp:lastModifiedBy>吴房斌</cp:lastModifiedBy>
  <dcterms:modified xsi:type="dcterms:W3CDTF">2024-08-28T09:10:50Z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BDED747629444B008BCE2AD440B9E378</vt:lpwstr>
  </property>
</Properties>
</file>