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eastAsia="方正小标宋简体"/>
          <w:color w:val="000000"/>
          <w:sz w:val="32"/>
          <w:szCs w:val="32"/>
        </w:rPr>
      </w:pPr>
      <w:r>
        <w:rPr>
          <w:rFonts w:hint="eastAsia" w:ascii="方正小标宋简体" w:hAnsi="方正小标宋简体" w:eastAsia="方正小标宋简体" w:cs="方正小标宋简体"/>
          <w:sz w:val="32"/>
          <w:szCs w:val="32"/>
        </w:rPr>
        <w:t>广州市市场监督管理局</w:t>
      </w:r>
      <w:r>
        <w:rPr>
          <w:rFonts w:hint="eastAsia" w:eastAsia="方正小标宋简体"/>
          <w:color w:val="000000"/>
          <w:sz w:val="32"/>
          <w:szCs w:val="32"/>
        </w:rPr>
        <w:t>机制砂</w:t>
      </w:r>
      <w:r>
        <w:rPr>
          <w:rFonts w:eastAsia="方正小标宋简体"/>
          <w:color w:val="000000"/>
          <w:sz w:val="32"/>
          <w:szCs w:val="32"/>
        </w:rPr>
        <w:t>产品质量监督抽查实施细则</w:t>
      </w:r>
    </w:p>
    <w:p>
      <w:pPr>
        <w:snapToGrid w:val="0"/>
        <w:spacing w:line="360" w:lineRule="auto"/>
        <w:jc w:val="center"/>
        <w:rPr>
          <w:rFonts w:eastAsia="方正小标宋简体"/>
          <w:color w:val="000000"/>
          <w:sz w:val="32"/>
          <w:szCs w:val="32"/>
        </w:rPr>
      </w:pPr>
      <w:r>
        <w:rPr>
          <w:rFonts w:hint="eastAsia" w:eastAsia="方正小标宋简体"/>
          <w:color w:val="000000"/>
          <w:sz w:val="32"/>
          <w:szCs w:val="32"/>
        </w:rPr>
        <w:t>（2024年</w:t>
      </w:r>
      <w:r>
        <w:rPr>
          <w:rFonts w:hint="eastAsia" w:eastAsia="方正小标宋简体"/>
          <w:color w:val="000000"/>
          <w:sz w:val="32"/>
          <w:szCs w:val="32"/>
          <w:lang w:val="en-US" w:eastAsia="zh-CN"/>
        </w:rPr>
        <w:t>5</w:t>
      </w:r>
      <w:bookmarkStart w:id="0" w:name="_GoBack"/>
      <w:bookmarkEnd w:id="0"/>
      <w:r>
        <w:rPr>
          <w:rFonts w:hint="eastAsia" w:eastAsia="方正小标宋简体"/>
          <w:color w:val="000000"/>
          <w:sz w:val="32"/>
          <w:szCs w:val="32"/>
        </w:rPr>
        <w:t>月修订版）</w:t>
      </w:r>
    </w:p>
    <w:p>
      <w:pPr>
        <w:snapToGrid w:val="0"/>
        <w:spacing w:line="440" w:lineRule="exact"/>
        <w:rPr>
          <w:rFonts w:eastAsia="黑体"/>
          <w:szCs w:val="21"/>
        </w:rPr>
      </w:pPr>
      <w:r>
        <w:rPr>
          <w:rFonts w:eastAsia="黑体"/>
          <w:szCs w:val="21"/>
        </w:rPr>
        <w:t xml:space="preserve">1 </w:t>
      </w:r>
      <w:r>
        <w:rPr>
          <w:rFonts w:eastAsia="黑体"/>
          <w:color w:val="000000"/>
          <w:szCs w:val="21"/>
        </w:rPr>
        <w:t>抽样方法</w:t>
      </w:r>
    </w:p>
    <w:p>
      <w:pPr>
        <w:snapToGrid w:val="0"/>
        <w:spacing w:line="440" w:lineRule="exact"/>
        <w:ind w:firstLine="420" w:firstLineChars="200"/>
        <w:rPr>
          <w:color w:val="000000"/>
          <w:szCs w:val="21"/>
        </w:rPr>
      </w:pPr>
      <w:r>
        <w:rPr>
          <w:rFonts w:hint="eastAsia"/>
          <w:color w:val="000000"/>
          <w:szCs w:val="21"/>
        </w:rPr>
        <w:t>机制砂产品按细度模数分为粗砂、中砂、细砂、特细砂四种规格，按技术要求分为Ⅰ类、Ⅱ类、Ⅲ类三种类别。</w:t>
      </w:r>
    </w:p>
    <w:p>
      <w:pPr>
        <w:snapToGrid w:val="0"/>
        <w:spacing w:line="440" w:lineRule="exact"/>
        <w:ind w:firstLine="420" w:firstLineChars="200"/>
        <w:rPr>
          <w:color w:val="000000"/>
          <w:szCs w:val="21"/>
        </w:rPr>
      </w:pPr>
      <w:r>
        <w:rPr>
          <w:rFonts w:hint="eastAsia"/>
          <w:color w:val="000000"/>
          <w:szCs w:val="21"/>
        </w:rPr>
        <w:t>抽取样品应为同一标准生产、同一型号规格、同一批次的产品，抽查样品基数应满足抽样数量要求。</w:t>
      </w:r>
    </w:p>
    <w:p>
      <w:pPr>
        <w:snapToGrid w:val="0"/>
        <w:spacing w:line="440" w:lineRule="exact"/>
        <w:ind w:firstLine="420" w:firstLineChars="200"/>
        <w:rPr>
          <w:color w:val="000000"/>
          <w:szCs w:val="21"/>
        </w:rPr>
      </w:pPr>
      <w:r>
        <w:rPr>
          <w:rFonts w:hint="eastAsia"/>
          <w:color w:val="000000"/>
          <w:szCs w:val="21"/>
        </w:rPr>
        <w:t>机制砂从企业料堆、皮带运输机或运输工具（如火车、汽车、货船）上抽取。在同一批次的机制砂中随机抽取8份样品，每次抽取样品约5kg，总取样数量不少于40kg，将抽取的样品混匀分为二等份，一份为检验样品，一份为备用样品，每份样品数量均不得少于20 kg。</w:t>
      </w:r>
    </w:p>
    <w:p>
      <w:pPr>
        <w:snapToGrid w:val="0"/>
        <w:spacing w:line="440" w:lineRule="exact"/>
        <w:ind w:firstLine="420" w:firstLineChars="200"/>
        <w:rPr>
          <w:color w:val="000000"/>
          <w:szCs w:val="21"/>
        </w:rPr>
      </w:pPr>
      <w:r>
        <w:rPr>
          <w:color w:val="000000"/>
          <w:szCs w:val="21"/>
        </w:rPr>
        <w:t>随机数一般可使用随机数表、随机数骰子或扑克牌等方法产生。</w:t>
      </w: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left"/>
        <w:rPr>
          <w:color w:val="000000"/>
          <w:szCs w:val="21"/>
        </w:rPr>
      </w:pPr>
      <w:r>
        <w:rPr>
          <w:color w:val="000000"/>
          <w:szCs w:val="21"/>
        </w:rPr>
        <w:t>本次抽查检验项目和检验方法依据见表1。</w:t>
      </w:r>
    </w:p>
    <w:p>
      <w:pPr>
        <w:snapToGrid w:val="0"/>
        <w:spacing w:line="440" w:lineRule="exact"/>
        <w:jc w:val="center"/>
        <w:rPr>
          <w:szCs w:val="21"/>
        </w:rPr>
      </w:pPr>
      <w:r>
        <w:rPr>
          <w:szCs w:val="21"/>
        </w:rPr>
        <w:t>表</w:t>
      </w:r>
      <w:r>
        <w:rPr>
          <w:rFonts w:hint="eastAsia"/>
          <w:szCs w:val="21"/>
        </w:rPr>
        <w:t>1  机制砂</w:t>
      </w:r>
      <w:r>
        <w:rPr>
          <w:szCs w:val="21"/>
        </w:rPr>
        <w:t>产品检验项目</w:t>
      </w:r>
    </w:p>
    <w:tbl>
      <w:tblPr>
        <w:tblStyle w:val="10"/>
        <w:tblW w:w="88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706"/>
        <w:gridCol w:w="2707"/>
        <w:gridCol w:w="2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tblHeader/>
          <w:jc w:val="center"/>
        </w:trPr>
        <w:tc>
          <w:tcPr>
            <w:tcW w:w="691" w:type="dxa"/>
            <w:vAlign w:val="center"/>
          </w:tcPr>
          <w:p>
            <w:pPr>
              <w:snapToGrid w:val="0"/>
              <w:spacing w:line="320" w:lineRule="exact"/>
              <w:jc w:val="center"/>
              <w:rPr>
                <w:szCs w:val="21"/>
              </w:rPr>
            </w:pPr>
            <w:r>
              <w:rPr>
                <w:szCs w:val="21"/>
              </w:rPr>
              <w:t>序号</w:t>
            </w:r>
          </w:p>
        </w:tc>
        <w:tc>
          <w:tcPr>
            <w:tcW w:w="2706" w:type="dxa"/>
            <w:vAlign w:val="center"/>
          </w:tcPr>
          <w:p>
            <w:pPr>
              <w:snapToGrid w:val="0"/>
              <w:spacing w:line="320" w:lineRule="exact"/>
              <w:jc w:val="center"/>
              <w:rPr>
                <w:szCs w:val="21"/>
              </w:rPr>
            </w:pPr>
            <w:r>
              <w:rPr>
                <w:szCs w:val="21"/>
              </w:rPr>
              <w:t>检验项目</w:t>
            </w:r>
          </w:p>
        </w:tc>
        <w:tc>
          <w:tcPr>
            <w:tcW w:w="2707" w:type="dxa"/>
            <w:vAlign w:val="center"/>
          </w:tcPr>
          <w:p>
            <w:pPr>
              <w:spacing w:line="400" w:lineRule="exact"/>
              <w:jc w:val="center"/>
              <w:rPr>
                <w:szCs w:val="21"/>
              </w:rPr>
            </w:pPr>
            <w:r>
              <w:rPr>
                <w:szCs w:val="21"/>
              </w:rPr>
              <w:t>检验依据</w:t>
            </w:r>
          </w:p>
        </w:tc>
        <w:tc>
          <w:tcPr>
            <w:tcW w:w="2707" w:type="dxa"/>
            <w:vAlign w:val="center"/>
          </w:tcPr>
          <w:p>
            <w:pPr>
              <w:snapToGrid w:val="0"/>
              <w:spacing w:line="32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91" w:type="dxa"/>
            <w:vAlign w:val="center"/>
          </w:tcPr>
          <w:p>
            <w:pPr>
              <w:snapToGrid w:val="0"/>
              <w:jc w:val="center"/>
              <w:rPr>
                <w:szCs w:val="21"/>
              </w:rPr>
            </w:pPr>
            <w:r>
              <w:rPr>
                <w:rFonts w:hint="eastAsia"/>
                <w:szCs w:val="21"/>
              </w:rPr>
              <w:t>1</w:t>
            </w:r>
          </w:p>
        </w:tc>
        <w:tc>
          <w:tcPr>
            <w:tcW w:w="2706" w:type="dxa"/>
            <w:vAlign w:val="center"/>
          </w:tcPr>
          <w:p>
            <w:pPr>
              <w:snapToGrid w:val="0"/>
              <w:jc w:val="center"/>
              <w:rPr>
                <w:szCs w:val="21"/>
              </w:rPr>
            </w:pPr>
            <w:r>
              <w:rPr>
                <w:rFonts w:hint="eastAsia"/>
                <w:szCs w:val="21"/>
              </w:rPr>
              <w:t>颗粒级配</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91" w:type="dxa"/>
            <w:vAlign w:val="center"/>
          </w:tcPr>
          <w:p>
            <w:pPr>
              <w:snapToGrid w:val="0"/>
              <w:jc w:val="center"/>
              <w:rPr>
                <w:szCs w:val="21"/>
              </w:rPr>
            </w:pPr>
            <w:r>
              <w:rPr>
                <w:szCs w:val="21"/>
              </w:rPr>
              <w:t>2</w:t>
            </w:r>
          </w:p>
        </w:tc>
        <w:tc>
          <w:tcPr>
            <w:tcW w:w="2706" w:type="dxa"/>
            <w:vAlign w:val="center"/>
          </w:tcPr>
          <w:p>
            <w:pPr>
              <w:snapToGrid w:val="0"/>
              <w:jc w:val="center"/>
              <w:rPr>
                <w:rFonts w:ascii="Arial" w:hAnsi="Arial" w:cs="Arial"/>
                <w:color w:val="000000"/>
                <w:szCs w:val="21"/>
                <w:shd w:val="clear" w:color="auto" w:fill="FFFFFF"/>
              </w:rPr>
            </w:pPr>
            <w:r>
              <w:rPr>
                <w:rFonts w:ascii="Arial" w:hAnsi="Arial" w:cs="Arial"/>
                <w:color w:val="000000"/>
                <w:szCs w:val="21"/>
                <w:shd w:val="clear" w:color="auto" w:fill="FFFFFF"/>
              </w:rPr>
              <w:t>石粉含量与</w:t>
            </w:r>
            <w:r>
              <w:rPr>
                <w:color w:val="000000"/>
                <w:szCs w:val="21"/>
                <w:shd w:val="clear" w:color="auto" w:fill="FFFFFF"/>
              </w:rPr>
              <w:t>MB</w:t>
            </w:r>
            <w:r>
              <w:rPr>
                <w:rFonts w:hint="eastAsia"/>
                <w:color w:val="000000"/>
                <w:szCs w:val="21"/>
                <w:shd w:val="clear" w:color="auto" w:fill="FFFFFF"/>
              </w:rPr>
              <w:t>值</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91" w:type="dxa"/>
            <w:vAlign w:val="center"/>
          </w:tcPr>
          <w:p>
            <w:pPr>
              <w:snapToGrid w:val="0"/>
              <w:jc w:val="center"/>
              <w:rPr>
                <w:szCs w:val="21"/>
              </w:rPr>
            </w:pPr>
            <w:r>
              <w:rPr>
                <w:szCs w:val="21"/>
              </w:rPr>
              <w:t>3</w:t>
            </w:r>
          </w:p>
        </w:tc>
        <w:tc>
          <w:tcPr>
            <w:tcW w:w="2706" w:type="dxa"/>
            <w:vAlign w:val="center"/>
          </w:tcPr>
          <w:p>
            <w:pPr>
              <w:snapToGrid w:val="0"/>
              <w:jc w:val="center"/>
              <w:rPr>
                <w:szCs w:val="21"/>
              </w:rPr>
            </w:pPr>
            <w:r>
              <w:rPr>
                <w:rFonts w:ascii="Arial" w:hAnsi="Arial" w:cs="Arial"/>
                <w:color w:val="000000"/>
                <w:szCs w:val="21"/>
                <w:shd w:val="clear" w:color="auto" w:fill="FFFFFF"/>
              </w:rPr>
              <w:t>泥块含量</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c>
          <w:tcPr>
            <w:tcW w:w="2707" w:type="dxa"/>
            <w:vAlign w:val="center"/>
          </w:tcPr>
          <w:p>
            <w:pPr>
              <w:snapToGrid w:val="0"/>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91" w:type="dxa"/>
            <w:vAlign w:val="center"/>
          </w:tcPr>
          <w:p>
            <w:pPr>
              <w:snapToGrid w:val="0"/>
              <w:jc w:val="center"/>
              <w:rPr>
                <w:szCs w:val="21"/>
              </w:rPr>
            </w:pPr>
            <w:r>
              <w:rPr>
                <w:szCs w:val="21"/>
              </w:rPr>
              <w:t>4</w:t>
            </w:r>
          </w:p>
        </w:tc>
        <w:tc>
          <w:tcPr>
            <w:tcW w:w="2706" w:type="dxa"/>
            <w:vAlign w:val="center"/>
          </w:tcPr>
          <w:p>
            <w:pPr>
              <w:snapToGrid w:val="0"/>
              <w:jc w:val="center"/>
              <w:rPr>
                <w:szCs w:val="21"/>
              </w:rPr>
            </w:pPr>
            <w:r>
              <w:rPr>
                <w:rFonts w:ascii="Arial" w:hAnsi="Arial" w:cs="Arial"/>
                <w:color w:val="000000"/>
                <w:szCs w:val="21"/>
                <w:shd w:val="clear" w:color="auto" w:fill="FFFFFF"/>
              </w:rPr>
              <w:t>云母含量</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c>
          <w:tcPr>
            <w:tcW w:w="2707" w:type="dxa"/>
            <w:vAlign w:val="center"/>
          </w:tcPr>
          <w:p>
            <w:pPr>
              <w:snapToGrid w:val="0"/>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91" w:type="dxa"/>
            <w:vAlign w:val="center"/>
          </w:tcPr>
          <w:p>
            <w:pPr>
              <w:snapToGrid w:val="0"/>
              <w:jc w:val="center"/>
              <w:rPr>
                <w:szCs w:val="21"/>
              </w:rPr>
            </w:pPr>
            <w:r>
              <w:rPr>
                <w:rFonts w:hint="eastAsia"/>
                <w:szCs w:val="21"/>
              </w:rPr>
              <w:t>5</w:t>
            </w:r>
          </w:p>
        </w:tc>
        <w:tc>
          <w:tcPr>
            <w:tcW w:w="2706" w:type="dxa"/>
            <w:vAlign w:val="center"/>
          </w:tcPr>
          <w:p>
            <w:pPr>
              <w:snapToGrid w:val="0"/>
              <w:jc w:val="center"/>
              <w:rPr>
                <w:rFonts w:ascii="Arial" w:hAnsi="Arial" w:cs="Arial"/>
                <w:color w:val="000000"/>
                <w:szCs w:val="21"/>
                <w:shd w:val="clear" w:color="auto" w:fill="FFFFFF"/>
              </w:rPr>
            </w:pPr>
            <w:r>
              <w:rPr>
                <w:rFonts w:hint="eastAsia" w:ascii="Arial" w:hAnsi="Arial" w:cs="Arial"/>
                <w:color w:val="000000"/>
                <w:szCs w:val="21"/>
                <w:shd w:val="clear" w:color="auto" w:fill="FFFFFF"/>
              </w:rPr>
              <w:t>硫化物与硫酸含量</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c>
          <w:tcPr>
            <w:tcW w:w="2707" w:type="dxa"/>
            <w:vAlign w:val="center"/>
          </w:tcPr>
          <w:p>
            <w:pPr>
              <w:snapToGrid w:val="0"/>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91" w:type="dxa"/>
            <w:vAlign w:val="center"/>
          </w:tcPr>
          <w:p>
            <w:pPr>
              <w:snapToGrid w:val="0"/>
              <w:jc w:val="center"/>
              <w:rPr>
                <w:szCs w:val="21"/>
              </w:rPr>
            </w:pPr>
            <w:r>
              <w:rPr>
                <w:rFonts w:hint="eastAsia"/>
                <w:szCs w:val="21"/>
              </w:rPr>
              <w:t>6</w:t>
            </w:r>
          </w:p>
        </w:tc>
        <w:tc>
          <w:tcPr>
            <w:tcW w:w="2706" w:type="dxa"/>
            <w:vAlign w:val="center"/>
          </w:tcPr>
          <w:p>
            <w:pPr>
              <w:snapToGrid w:val="0"/>
              <w:jc w:val="center"/>
              <w:rPr>
                <w:rFonts w:ascii="Arial" w:hAnsi="Arial" w:cs="Arial"/>
                <w:color w:val="000000"/>
                <w:szCs w:val="21"/>
                <w:shd w:val="clear" w:color="auto" w:fill="FFFFFF"/>
              </w:rPr>
            </w:pPr>
            <w:r>
              <w:rPr>
                <w:rFonts w:hint="eastAsia" w:ascii="Arial" w:hAnsi="Arial" w:cs="Arial"/>
                <w:color w:val="000000"/>
                <w:szCs w:val="21"/>
                <w:shd w:val="clear" w:color="auto" w:fill="FFFFFF"/>
              </w:rPr>
              <w:t>氯化物含量</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91" w:type="dxa"/>
            <w:vAlign w:val="center"/>
          </w:tcPr>
          <w:p>
            <w:pPr>
              <w:snapToGrid w:val="0"/>
              <w:jc w:val="center"/>
              <w:rPr>
                <w:szCs w:val="21"/>
              </w:rPr>
            </w:pPr>
            <w:r>
              <w:rPr>
                <w:rFonts w:hint="eastAsia"/>
                <w:szCs w:val="21"/>
              </w:rPr>
              <w:t>7</w:t>
            </w:r>
          </w:p>
        </w:tc>
        <w:tc>
          <w:tcPr>
            <w:tcW w:w="2706" w:type="dxa"/>
            <w:vAlign w:val="center"/>
          </w:tcPr>
          <w:p>
            <w:pPr>
              <w:snapToGrid w:val="0"/>
              <w:jc w:val="center"/>
              <w:rPr>
                <w:szCs w:val="21"/>
              </w:rPr>
            </w:pPr>
            <w:r>
              <w:rPr>
                <w:rFonts w:ascii="Arial" w:hAnsi="Arial" w:cs="Arial"/>
                <w:color w:val="000000"/>
                <w:szCs w:val="21"/>
                <w:shd w:val="clear" w:color="auto" w:fill="FFFFFF"/>
              </w:rPr>
              <w:t>表观密度</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91" w:type="dxa"/>
            <w:vAlign w:val="center"/>
          </w:tcPr>
          <w:p>
            <w:pPr>
              <w:snapToGrid w:val="0"/>
              <w:jc w:val="center"/>
              <w:rPr>
                <w:szCs w:val="21"/>
              </w:rPr>
            </w:pPr>
            <w:r>
              <w:rPr>
                <w:rFonts w:hint="eastAsia"/>
                <w:szCs w:val="21"/>
              </w:rPr>
              <w:t>8</w:t>
            </w:r>
          </w:p>
        </w:tc>
        <w:tc>
          <w:tcPr>
            <w:tcW w:w="2706" w:type="dxa"/>
            <w:vAlign w:val="center"/>
          </w:tcPr>
          <w:p>
            <w:pPr>
              <w:snapToGrid w:val="0"/>
              <w:jc w:val="center"/>
              <w:rPr>
                <w:szCs w:val="21"/>
              </w:rPr>
            </w:pPr>
            <w:r>
              <w:rPr>
                <w:rFonts w:ascii="Arial" w:hAnsi="Arial" w:cs="Arial"/>
                <w:color w:val="000000"/>
                <w:szCs w:val="21"/>
                <w:shd w:val="clear" w:color="auto" w:fill="FFFFFF"/>
              </w:rPr>
              <w:t>松散堆积密度</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691" w:type="dxa"/>
            <w:vAlign w:val="center"/>
          </w:tcPr>
          <w:p>
            <w:pPr>
              <w:snapToGrid w:val="0"/>
              <w:jc w:val="center"/>
              <w:rPr>
                <w:szCs w:val="21"/>
              </w:rPr>
            </w:pPr>
            <w:r>
              <w:rPr>
                <w:rFonts w:hint="eastAsia"/>
                <w:szCs w:val="21"/>
              </w:rPr>
              <w:t>9</w:t>
            </w:r>
          </w:p>
        </w:tc>
        <w:tc>
          <w:tcPr>
            <w:tcW w:w="2706" w:type="dxa"/>
            <w:vAlign w:val="center"/>
          </w:tcPr>
          <w:p>
            <w:pPr>
              <w:snapToGrid w:val="0"/>
              <w:jc w:val="center"/>
              <w:rPr>
                <w:rFonts w:ascii="Arial" w:hAnsi="Arial" w:cs="Arial"/>
                <w:color w:val="000000"/>
                <w:szCs w:val="21"/>
                <w:shd w:val="clear" w:color="auto" w:fill="FFFFFF"/>
              </w:rPr>
            </w:pPr>
            <w:r>
              <w:rPr>
                <w:rFonts w:ascii="Arial" w:hAnsi="Arial" w:cs="Arial"/>
                <w:color w:val="000000"/>
                <w:szCs w:val="21"/>
                <w:shd w:val="clear" w:color="auto" w:fill="FFFFFF"/>
              </w:rPr>
              <w:t>空隙率</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c>
          <w:tcPr>
            <w:tcW w:w="2707" w:type="dxa"/>
            <w:vAlign w:val="center"/>
          </w:tcPr>
          <w:p>
            <w:pPr>
              <w:spacing w:line="320" w:lineRule="exact"/>
              <w:jc w:val="center"/>
              <w:rPr>
                <w:szCs w:val="21"/>
              </w:rPr>
            </w:pPr>
            <w:r>
              <w:rPr>
                <w:szCs w:val="21"/>
              </w:rPr>
              <w:t>GB</w:t>
            </w:r>
            <w:r>
              <w:rPr>
                <w:rFonts w:hint="eastAsia"/>
                <w:szCs w:val="21"/>
              </w:rPr>
              <w:t>/T</w:t>
            </w:r>
            <w:r>
              <w:rPr>
                <w:szCs w:val="21"/>
              </w:rPr>
              <w:t xml:space="preserve"> 1</w:t>
            </w:r>
            <w:r>
              <w:rPr>
                <w:rFonts w:hint="eastAsia"/>
                <w:szCs w:val="21"/>
              </w:rPr>
              <w:t>4684-2022</w:t>
            </w:r>
          </w:p>
        </w:tc>
      </w:tr>
    </w:tbl>
    <w:p>
      <w:pPr>
        <w:adjustRightInd w:val="0"/>
        <w:snapToGrid w:val="0"/>
        <w:spacing w:line="440" w:lineRule="exact"/>
        <w:ind w:firstLine="420" w:firstLineChars="200"/>
        <w:rPr>
          <w:szCs w:val="21"/>
        </w:rPr>
      </w:pPr>
      <w:r>
        <w:rPr>
          <w:rFonts w:hint="eastAsia"/>
          <w:szCs w:val="21"/>
        </w:rPr>
        <w:t>执行企业标准、团体标准、地方标准的产品，检验项目参照上述内容执行。</w:t>
      </w:r>
    </w:p>
    <w:p>
      <w:pPr>
        <w:adjustRightInd w:val="0"/>
        <w:snapToGrid w:val="0"/>
        <w:spacing w:line="440" w:lineRule="exact"/>
        <w:ind w:firstLine="420" w:firstLineChars="200"/>
        <w:rPr>
          <w:szCs w:val="21"/>
        </w:rPr>
      </w:pPr>
      <w:r>
        <w:rPr>
          <w:rFonts w:hint="eastAsia"/>
          <w:szCs w:val="21"/>
        </w:rPr>
        <w:t>凡是注日期的文件，其随后所有的修改单（不包括勘误的内容）或修订版不适用于本细则。凡是不注日期的文件，其最新版本适用于本细则。</w:t>
      </w:r>
    </w:p>
    <w:p>
      <w:pPr>
        <w:spacing w:line="360" w:lineRule="auto"/>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szCs w:val="21"/>
        </w:rPr>
      </w:pPr>
      <w:r>
        <w:rPr>
          <w:szCs w:val="21"/>
        </w:rPr>
        <w:t>GB</w:t>
      </w:r>
      <w:r>
        <w:rPr>
          <w:rFonts w:hint="eastAsia"/>
          <w:szCs w:val="21"/>
        </w:rPr>
        <w:t>/T</w:t>
      </w:r>
      <w:r>
        <w:rPr>
          <w:szCs w:val="21"/>
        </w:rPr>
        <w:t xml:space="preserve"> 1</w:t>
      </w:r>
      <w:r>
        <w:rPr>
          <w:rFonts w:hint="eastAsia"/>
          <w:szCs w:val="21"/>
        </w:rPr>
        <w:t>4684-2022 建设用砂</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napToGrid w:val="0"/>
        <w:spacing w:line="440" w:lineRule="exact"/>
        <w:ind w:firstLine="417" w:firstLineChars="199"/>
        <w:rPr>
          <w:szCs w:val="21"/>
        </w:rPr>
      </w:pPr>
    </w:p>
    <w:sectPr>
      <w:footerReference r:id="rId3" w:type="default"/>
      <w:footerReference r:id="rId4" w:type="even"/>
      <w:pgSz w:w="11906" w:h="16838"/>
      <w:pgMar w:top="850" w:right="1134" w:bottom="850" w:left="1134"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8"/>
      <w:ind w:right="360"/>
      <w:jc w:val="right"/>
      <w:rPr>
        <w:rFonts w:ascii="宋体" w:hAnsi="宋体"/>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fldChar w:fldCharType="begin"/>
    </w:r>
    <w:r>
      <w:rPr>
        <w:rStyle w:val="12"/>
      </w:rPr>
      <w:instrText xml:space="preserve">PAGE  </w:instrText>
    </w:r>
    <w:r>
      <w:fldChar w:fldCharType="end"/>
    </w:r>
  </w:p>
  <w:p>
    <w:pPr>
      <w:pStyle w:val="8"/>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60D3"/>
    <w:rsid w:val="000B1D53"/>
    <w:rsid w:val="000F5EC4"/>
    <w:rsid w:val="00133B81"/>
    <w:rsid w:val="001575F4"/>
    <w:rsid w:val="00172A27"/>
    <w:rsid w:val="002243A3"/>
    <w:rsid w:val="00231D12"/>
    <w:rsid w:val="00243988"/>
    <w:rsid w:val="00272386"/>
    <w:rsid w:val="00396C96"/>
    <w:rsid w:val="003C0D03"/>
    <w:rsid w:val="003C7F55"/>
    <w:rsid w:val="00455A96"/>
    <w:rsid w:val="004D11AD"/>
    <w:rsid w:val="004D2A24"/>
    <w:rsid w:val="00511316"/>
    <w:rsid w:val="0052311D"/>
    <w:rsid w:val="005B11CB"/>
    <w:rsid w:val="005B7393"/>
    <w:rsid w:val="00602C75"/>
    <w:rsid w:val="00686051"/>
    <w:rsid w:val="006A0FD0"/>
    <w:rsid w:val="006F00FE"/>
    <w:rsid w:val="0079767B"/>
    <w:rsid w:val="007A7DEB"/>
    <w:rsid w:val="007D4E09"/>
    <w:rsid w:val="007E5515"/>
    <w:rsid w:val="00810B82"/>
    <w:rsid w:val="008562E3"/>
    <w:rsid w:val="00856752"/>
    <w:rsid w:val="00877B92"/>
    <w:rsid w:val="008E3F0D"/>
    <w:rsid w:val="00901E14"/>
    <w:rsid w:val="009435D2"/>
    <w:rsid w:val="00953FA4"/>
    <w:rsid w:val="009966AC"/>
    <w:rsid w:val="009D37C2"/>
    <w:rsid w:val="00A32C64"/>
    <w:rsid w:val="00A56C8D"/>
    <w:rsid w:val="00A701B2"/>
    <w:rsid w:val="00A952B4"/>
    <w:rsid w:val="00A9633F"/>
    <w:rsid w:val="00AF4ADC"/>
    <w:rsid w:val="00B529C9"/>
    <w:rsid w:val="00B54FEC"/>
    <w:rsid w:val="00B82568"/>
    <w:rsid w:val="00C162FB"/>
    <w:rsid w:val="00C31289"/>
    <w:rsid w:val="00C41B04"/>
    <w:rsid w:val="00CE7A01"/>
    <w:rsid w:val="00DE5202"/>
    <w:rsid w:val="00DF79C4"/>
    <w:rsid w:val="00E047D2"/>
    <w:rsid w:val="00E34E55"/>
    <w:rsid w:val="00E62F03"/>
    <w:rsid w:val="00EA09A9"/>
    <w:rsid w:val="00EE0AA3"/>
    <w:rsid w:val="00EF7BF8"/>
    <w:rsid w:val="00F60850"/>
    <w:rsid w:val="00FD624C"/>
    <w:rsid w:val="01B06B04"/>
    <w:rsid w:val="02121D1E"/>
    <w:rsid w:val="041127D7"/>
    <w:rsid w:val="043A0AF3"/>
    <w:rsid w:val="04A50B7C"/>
    <w:rsid w:val="065C32EA"/>
    <w:rsid w:val="06C56C1D"/>
    <w:rsid w:val="092E2E2D"/>
    <w:rsid w:val="09C43B84"/>
    <w:rsid w:val="0BC33C6D"/>
    <w:rsid w:val="0CA74F22"/>
    <w:rsid w:val="0D5A3E7C"/>
    <w:rsid w:val="0F5B69E8"/>
    <w:rsid w:val="0F8536D5"/>
    <w:rsid w:val="10882D23"/>
    <w:rsid w:val="13B31ED5"/>
    <w:rsid w:val="16EF55B8"/>
    <w:rsid w:val="18CA6F33"/>
    <w:rsid w:val="18EE6ABF"/>
    <w:rsid w:val="19DB7966"/>
    <w:rsid w:val="1C6B2DB3"/>
    <w:rsid w:val="1C9E198A"/>
    <w:rsid w:val="1C9E4334"/>
    <w:rsid w:val="1F5A654C"/>
    <w:rsid w:val="21532971"/>
    <w:rsid w:val="241F3AAF"/>
    <w:rsid w:val="2CD02503"/>
    <w:rsid w:val="2EFB26D6"/>
    <w:rsid w:val="30587AE3"/>
    <w:rsid w:val="30AF640E"/>
    <w:rsid w:val="31D0312D"/>
    <w:rsid w:val="32546B1D"/>
    <w:rsid w:val="3361162C"/>
    <w:rsid w:val="33A85D49"/>
    <w:rsid w:val="34205EBB"/>
    <w:rsid w:val="35D1666F"/>
    <w:rsid w:val="395913A0"/>
    <w:rsid w:val="3C2E642A"/>
    <w:rsid w:val="3C365C48"/>
    <w:rsid w:val="41C732D7"/>
    <w:rsid w:val="427C1B49"/>
    <w:rsid w:val="439E31E1"/>
    <w:rsid w:val="446063C3"/>
    <w:rsid w:val="44BF4EE7"/>
    <w:rsid w:val="4580344E"/>
    <w:rsid w:val="45E038BE"/>
    <w:rsid w:val="45F9662A"/>
    <w:rsid w:val="47030F12"/>
    <w:rsid w:val="471332FE"/>
    <w:rsid w:val="48A1735A"/>
    <w:rsid w:val="498040A0"/>
    <w:rsid w:val="4CD96441"/>
    <w:rsid w:val="4DD33AED"/>
    <w:rsid w:val="4FF61CC1"/>
    <w:rsid w:val="51831E59"/>
    <w:rsid w:val="52271DF7"/>
    <w:rsid w:val="53202F23"/>
    <w:rsid w:val="5764105B"/>
    <w:rsid w:val="57C97FBC"/>
    <w:rsid w:val="58DF01A1"/>
    <w:rsid w:val="598229B8"/>
    <w:rsid w:val="5A3979A3"/>
    <w:rsid w:val="5A67755D"/>
    <w:rsid w:val="61B234E4"/>
    <w:rsid w:val="69B73A2F"/>
    <w:rsid w:val="6CA9760E"/>
    <w:rsid w:val="6DA15524"/>
    <w:rsid w:val="71625535"/>
    <w:rsid w:val="72016505"/>
    <w:rsid w:val="75732AB2"/>
    <w:rsid w:val="75B73D71"/>
    <w:rsid w:val="767C0257"/>
    <w:rsid w:val="76D74D3C"/>
    <w:rsid w:val="77671B06"/>
    <w:rsid w:val="77B61644"/>
    <w:rsid w:val="77E36F0E"/>
    <w:rsid w:val="7B686B00"/>
    <w:rsid w:val="7C661675"/>
    <w:rsid w:val="7C9624D7"/>
    <w:rsid w:val="7CFD7373"/>
    <w:rsid w:val="7E4F379D"/>
    <w:rsid w:val="7F264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qFormat/>
    <w:uiPriority w:val="0"/>
    <w:pPr>
      <w:spacing w:line="360" w:lineRule="auto"/>
      <w:ind w:firstLine="480" w:firstLineChars="200"/>
    </w:pPr>
    <w:rPr>
      <w:rFonts w:ascii="宋体" w:hAnsi="宋体"/>
      <w:sz w:val="24"/>
      <w:szCs w:val="20"/>
    </w:rPr>
  </w:style>
  <w:style w:type="paragraph" w:styleId="4">
    <w:name w:val="Plain Text"/>
    <w:basedOn w:val="1"/>
    <w:qFormat/>
    <w:uiPriority w:val="0"/>
    <w:rPr>
      <w:rFonts w:ascii="宋体" w:hAnsi="Courier New"/>
    </w:rPr>
  </w:style>
  <w:style w:type="paragraph" w:styleId="5">
    <w:name w:val="Date"/>
    <w:basedOn w:val="1"/>
    <w:next w:val="1"/>
    <w:qFormat/>
    <w:uiPriority w:val="0"/>
    <w:pPr>
      <w:ind w:left="100" w:leftChars="2500"/>
    </w:pPr>
  </w:style>
  <w:style w:type="paragraph" w:styleId="6">
    <w:name w:val="Body Text Indent 2"/>
    <w:basedOn w:val="1"/>
    <w:qFormat/>
    <w:uiPriority w:val="0"/>
    <w:pPr>
      <w:spacing w:after="120" w:line="480" w:lineRule="auto"/>
      <w:ind w:left="420" w:leftChars="200"/>
    </w:p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0"/>
  </w:style>
  <w:style w:type="character" w:styleId="13">
    <w:name w:val="Hyperlink"/>
    <w:basedOn w:val="11"/>
    <w:qFormat/>
    <w:uiPriority w:val="0"/>
    <w:rPr>
      <w:color w:val="0000FF"/>
      <w:u w:val="single"/>
    </w:rPr>
  </w:style>
  <w:style w:type="paragraph" w:customStyle="1" w:styleId="14">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16">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178</Words>
  <Characters>1018</Characters>
  <Lines>8</Lines>
  <Paragraphs>2</Paragraphs>
  <TotalTime>0</TotalTime>
  <ScaleCrop>false</ScaleCrop>
  <LinksUpToDate>false</LinksUpToDate>
  <CharactersWithSpaces>1194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2024-04-07T09:54:00Z</dcterms:created>
  <dc:creator>gaojianzhong</dc:creator>
  <cp:lastModifiedBy>李仲唐</cp:lastModifiedBy>
  <cp:lastPrinted>2010-07-13T03:06:00Z</cp:lastPrinted>
  <dcterms:modified xsi:type="dcterms:W3CDTF">2024-05-24T09:25:51Z</dcterms:modified>
  <dc:title>JDXZ  XXX—XXXX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