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olor w:val="000000"/>
          <w:sz w:val="32"/>
          <w:szCs w:val="32"/>
        </w:rPr>
      </w:pPr>
      <w:r>
        <w:rPr>
          <w:rFonts w:hint="eastAsia" w:ascii="Times New Roman" w:hAnsi="Times New Roman" w:eastAsia="方正小标宋简体" w:cs="Times New Roman"/>
          <w:color w:val="000000"/>
          <w:sz w:val="32"/>
          <w:szCs w:val="32"/>
        </w:rPr>
        <w:t>广州市市场监督管理局</w:t>
      </w:r>
      <w:r>
        <w:rPr>
          <w:rFonts w:hint="eastAsia" w:ascii="Times New Roman" w:hAnsi="Times New Roman" w:eastAsia="方正小标宋简体" w:cs="Times New Roman"/>
          <w:color w:val="000000"/>
          <w:sz w:val="32"/>
          <w:szCs w:val="32"/>
          <w:lang w:val="en-US" w:eastAsia="zh-CN"/>
        </w:rPr>
        <w:t>交换机</w:t>
      </w:r>
      <w:r>
        <w:rPr>
          <w:rFonts w:hint="eastAsia" w:eastAsia="方正小标宋简体"/>
          <w:color w:val="000000"/>
          <w:sz w:val="32"/>
          <w:szCs w:val="32"/>
        </w:rPr>
        <w:t>产品质量监督抽查实施细则</w:t>
      </w:r>
    </w:p>
    <w:p>
      <w:pPr>
        <w:spacing w:line="440" w:lineRule="exact"/>
        <w:jc w:val="center"/>
        <w:rPr>
          <w:rFonts w:eastAsia="方正小标宋简体"/>
          <w:color w:val="000000"/>
          <w:sz w:val="32"/>
          <w:szCs w:val="32"/>
        </w:rPr>
      </w:pPr>
      <w:r>
        <w:rPr>
          <w:rFonts w:eastAsia="方正小标宋简体"/>
          <w:color w:val="000000"/>
          <w:sz w:val="32"/>
          <w:szCs w:val="32"/>
        </w:rPr>
        <w:t>（2024年</w:t>
      </w:r>
      <w:r>
        <w:rPr>
          <w:rFonts w:hint="eastAsia" w:eastAsia="方正小标宋简体"/>
          <w:color w:val="000000"/>
          <w:sz w:val="32"/>
          <w:szCs w:val="32"/>
          <w:lang w:val="en-US" w:eastAsia="zh-CN"/>
        </w:rPr>
        <w:t>4月修订</w:t>
      </w:r>
      <w:r>
        <w:rPr>
          <w:rFonts w:eastAsia="方正小标宋简体"/>
          <w:color w:val="000000"/>
          <w:sz w:val="32"/>
          <w:szCs w:val="32"/>
        </w:rPr>
        <w:t>版）</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bookmarkStart w:id="2" w:name="_GoBack"/>
      <w:bookmarkEnd w:id="2"/>
    </w:p>
    <w:p>
      <w:pPr>
        <w:snapToGrid w:val="0"/>
        <w:spacing w:line="440" w:lineRule="exact"/>
        <w:ind w:firstLine="420" w:firstLineChars="200"/>
        <w:rPr>
          <w:rFonts w:hint="eastAsia" w:ascii="宋体" w:hAnsi="宋体"/>
          <w:color w:val="000000"/>
          <w:szCs w:val="21"/>
        </w:rPr>
      </w:pPr>
      <w:r>
        <w:rPr>
          <w:szCs w:val="21"/>
        </w:rPr>
        <w:t>每批次产品抽取样品</w:t>
      </w:r>
      <w:r>
        <w:rPr>
          <w:rFonts w:hint="eastAsia"/>
          <w:szCs w:val="21"/>
          <w:lang w:val="en-US" w:eastAsia="zh-CN"/>
        </w:rPr>
        <w:t>2</w:t>
      </w:r>
      <w:r>
        <w:rPr>
          <w:szCs w:val="21"/>
        </w:rPr>
        <w:t>台，其中</w:t>
      </w:r>
      <w:r>
        <w:rPr>
          <w:rFonts w:hint="eastAsia"/>
          <w:szCs w:val="21"/>
          <w:lang w:val="en-US" w:eastAsia="zh-CN"/>
        </w:rPr>
        <w:t>1</w:t>
      </w:r>
      <w:r>
        <w:rPr>
          <w:szCs w:val="21"/>
        </w:rPr>
        <w:t>台作为检验样品，1台作为备用样品。</w:t>
      </w:r>
    </w:p>
    <w:p>
      <w:pPr>
        <w:snapToGrid w:val="0"/>
        <w:spacing w:line="440" w:lineRule="exact"/>
        <w:rPr>
          <w:rFonts w:hint="eastAsia"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hint="eastAsia" w:ascii="宋体" w:hAnsi="宋体"/>
          <w:color w:val="000000"/>
          <w:szCs w:val="21"/>
        </w:rPr>
      </w:pPr>
    </w:p>
    <w:tbl>
      <w:tblPr>
        <w:tblStyle w:val="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
        <w:gridCol w:w="3585"/>
        <w:gridCol w:w="2657"/>
        <w:gridCol w:w="2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blHeader/>
          <w:jc w:val="center"/>
        </w:trPr>
        <w:tc>
          <w:tcPr>
            <w:tcW w:w="241" w:type="pct"/>
            <w:noWrap w:val="0"/>
            <w:vAlign w:val="center"/>
          </w:tcPr>
          <w:p>
            <w:pPr>
              <w:snapToGrid w:val="0"/>
              <w:spacing w:line="440" w:lineRule="exact"/>
              <w:jc w:val="center"/>
              <w:rPr>
                <w:szCs w:val="21"/>
              </w:rPr>
            </w:pPr>
            <w:r>
              <w:rPr>
                <w:szCs w:val="21"/>
              </w:rPr>
              <w:t>序号</w:t>
            </w:r>
          </w:p>
        </w:tc>
        <w:tc>
          <w:tcPr>
            <w:tcW w:w="1954" w:type="pct"/>
            <w:noWrap w:val="0"/>
            <w:vAlign w:val="center"/>
          </w:tcPr>
          <w:p>
            <w:pPr>
              <w:snapToGrid w:val="0"/>
              <w:spacing w:line="440" w:lineRule="exact"/>
              <w:jc w:val="center"/>
              <w:rPr>
                <w:szCs w:val="21"/>
              </w:rPr>
            </w:pPr>
            <w:r>
              <w:rPr>
                <w:szCs w:val="21"/>
              </w:rPr>
              <w:t>检验项目</w:t>
            </w:r>
          </w:p>
        </w:tc>
        <w:tc>
          <w:tcPr>
            <w:tcW w:w="1448" w:type="pct"/>
            <w:noWrap w:val="0"/>
            <w:vAlign w:val="center"/>
          </w:tcPr>
          <w:p>
            <w:pPr>
              <w:snapToGrid w:val="0"/>
              <w:spacing w:line="440" w:lineRule="exact"/>
              <w:jc w:val="center"/>
              <w:rPr>
                <w:rFonts w:hint="eastAsia" w:eastAsia="宋体"/>
                <w:szCs w:val="21"/>
                <w:lang w:eastAsia="zh-CN"/>
              </w:rPr>
            </w:pPr>
            <w:r>
              <w:rPr>
                <w:szCs w:val="21"/>
              </w:rPr>
              <w:t>检验</w:t>
            </w:r>
            <w:r>
              <w:rPr>
                <w:rFonts w:hint="eastAsia"/>
                <w:szCs w:val="21"/>
                <w:lang w:val="en-US" w:eastAsia="zh-CN"/>
              </w:rPr>
              <w:t>依据</w:t>
            </w:r>
          </w:p>
        </w:tc>
        <w:tc>
          <w:tcPr>
            <w:tcW w:w="1354" w:type="pct"/>
            <w:noWrap w:val="0"/>
            <w:vAlign w:val="center"/>
          </w:tcPr>
          <w:p>
            <w:pPr>
              <w:snapToGrid w:val="0"/>
              <w:spacing w:line="44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szCs w:val="21"/>
              </w:rPr>
            </w:pPr>
            <w:r>
              <w:rPr>
                <w:szCs w:val="21"/>
              </w:rPr>
              <w:t>1</w:t>
            </w:r>
          </w:p>
        </w:tc>
        <w:tc>
          <w:tcPr>
            <w:tcW w:w="1954" w:type="pct"/>
            <w:noWrap w:val="0"/>
            <w:vAlign w:val="center"/>
          </w:tcPr>
          <w:p>
            <w:pPr>
              <w:jc w:val="center"/>
              <w:rPr>
                <w:spacing w:val="-12"/>
                <w:kern w:val="0"/>
                <w:szCs w:val="21"/>
              </w:rPr>
            </w:pPr>
            <w:r>
              <w:rPr>
                <w:rFonts w:ascii="宋体" w:hAnsi="宋体" w:eastAsia="宋体"/>
                <w:sz w:val="21"/>
                <w:szCs w:val="21"/>
              </w:rPr>
              <w:t>安全防护的强度</w:t>
            </w:r>
          </w:p>
        </w:tc>
        <w:tc>
          <w:tcPr>
            <w:tcW w:w="1448" w:type="pct"/>
            <w:noWrap w:val="0"/>
            <w:vAlign w:val="center"/>
          </w:tcPr>
          <w:p>
            <w:pPr>
              <w:snapToGrid w:val="0"/>
              <w:jc w:val="center"/>
              <w:rPr>
                <w:rFonts w:ascii="Times New Roman" w:hAnsi="Times New Roman" w:eastAsia="宋体" w:cs="Times New Roman"/>
                <w:kern w:val="2"/>
                <w:sz w:val="21"/>
                <w:szCs w:val="21"/>
                <w:lang w:val="en-US" w:eastAsia="zh-CN" w:bidi="ar-SA"/>
              </w:rPr>
            </w:pPr>
            <w:r>
              <w:rPr>
                <w:szCs w:val="21"/>
              </w:rPr>
              <w:t>GB 4943.1—2022</w:t>
            </w:r>
          </w:p>
        </w:tc>
        <w:tc>
          <w:tcPr>
            <w:tcW w:w="1354" w:type="pct"/>
            <w:noWrap w:val="0"/>
            <w:vAlign w:val="center"/>
          </w:tcPr>
          <w:p>
            <w:pPr>
              <w:snapToGrid w:val="0"/>
              <w:jc w:val="center"/>
              <w:rPr>
                <w:szCs w:val="21"/>
              </w:rPr>
            </w:pPr>
            <w:r>
              <w:rPr>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rFonts w:hint="eastAsia" w:eastAsia="宋体"/>
                <w:szCs w:val="21"/>
                <w:lang w:val="en-US" w:eastAsia="zh-CN"/>
              </w:rPr>
            </w:pPr>
            <w:r>
              <w:rPr>
                <w:rFonts w:hint="eastAsia"/>
                <w:szCs w:val="21"/>
                <w:lang w:val="en-US" w:eastAsia="zh-CN"/>
              </w:rPr>
              <w:t>2</w:t>
            </w:r>
          </w:p>
        </w:tc>
        <w:tc>
          <w:tcPr>
            <w:tcW w:w="1954" w:type="pct"/>
            <w:noWrap w:val="0"/>
            <w:vAlign w:val="center"/>
          </w:tcPr>
          <w:p>
            <w:pPr>
              <w:jc w:val="center"/>
              <w:rPr>
                <w:rFonts w:hint="eastAsia" w:ascii="宋体" w:hAnsi="宋体" w:eastAsia="宋体"/>
                <w:sz w:val="21"/>
                <w:szCs w:val="21"/>
              </w:rPr>
            </w:pPr>
            <w:r>
              <w:rPr>
                <w:rFonts w:hint="eastAsia" w:ascii="宋体" w:hAnsi="宋体" w:eastAsia="宋体"/>
                <w:sz w:val="21"/>
                <w:szCs w:val="21"/>
              </w:rPr>
              <w:t>导体的固定</w:t>
            </w:r>
          </w:p>
        </w:tc>
        <w:tc>
          <w:tcPr>
            <w:tcW w:w="1448" w:type="pct"/>
            <w:noWrap w:val="0"/>
            <w:vAlign w:val="center"/>
          </w:tcPr>
          <w:p>
            <w:pPr>
              <w:snapToGrid w:val="0"/>
              <w:jc w:val="center"/>
              <w:rPr>
                <w:rFonts w:ascii="Times New Roman" w:hAnsi="Times New Roman" w:eastAsia="宋体" w:cs="Times New Roman"/>
                <w:kern w:val="2"/>
                <w:sz w:val="21"/>
                <w:szCs w:val="21"/>
                <w:lang w:val="en-US" w:eastAsia="zh-CN" w:bidi="ar-SA"/>
              </w:rPr>
            </w:pPr>
            <w:r>
              <w:rPr>
                <w:szCs w:val="21"/>
              </w:rPr>
              <w:t>GB 4943.1—2022</w:t>
            </w:r>
          </w:p>
        </w:tc>
        <w:tc>
          <w:tcPr>
            <w:tcW w:w="1354" w:type="pct"/>
            <w:noWrap w:val="0"/>
            <w:vAlign w:val="center"/>
          </w:tcPr>
          <w:p>
            <w:pPr>
              <w:snapToGrid w:val="0"/>
              <w:jc w:val="center"/>
              <w:rPr>
                <w:szCs w:val="21"/>
              </w:rPr>
            </w:pPr>
            <w:r>
              <w:rPr>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rFonts w:hint="eastAsia" w:eastAsia="宋体"/>
                <w:szCs w:val="21"/>
                <w:lang w:val="en-US" w:eastAsia="zh-CN"/>
              </w:rPr>
            </w:pPr>
            <w:r>
              <w:rPr>
                <w:rFonts w:hint="eastAsia"/>
                <w:szCs w:val="21"/>
                <w:lang w:val="en-US" w:eastAsia="zh-CN"/>
              </w:rPr>
              <w:t>3</w:t>
            </w:r>
          </w:p>
        </w:tc>
        <w:tc>
          <w:tcPr>
            <w:tcW w:w="1954" w:type="pct"/>
            <w:noWrap w:val="0"/>
            <w:vAlign w:val="center"/>
          </w:tcPr>
          <w:p>
            <w:pPr>
              <w:jc w:val="center"/>
              <w:rPr>
                <w:rFonts w:hint="eastAsia" w:ascii="宋体" w:hAnsi="宋体" w:eastAsia="宋体"/>
                <w:sz w:val="21"/>
                <w:szCs w:val="21"/>
              </w:rPr>
            </w:pPr>
            <w:r>
              <w:rPr>
                <w:rFonts w:hint="eastAsia" w:ascii="宋体" w:hAnsi="宋体" w:eastAsia="宋体"/>
                <w:sz w:val="21"/>
                <w:szCs w:val="21"/>
              </w:rPr>
              <w:t>直接插入电网电源输出插座的设备</w:t>
            </w:r>
          </w:p>
        </w:tc>
        <w:tc>
          <w:tcPr>
            <w:tcW w:w="1448" w:type="pct"/>
            <w:noWrap w:val="0"/>
            <w:vAlign w:val="center"/>
          </w:tcPr>
          <w:p>
            <w:pPr>
              <w:snapToGrid w:val="0"/>
              <w:jc w:val="center"/>
              <w:rPr>
                <w:rFonts w:ascii="Times New Roman" w:hAnsi="Times New Roman" w:eastAsia="宋体" w:cs="Times New Roman"/>
                <w:kern w:val="2"/>
                <w:sz w:val="21"/>
                <w:szCs w:val="21"/>
                <w:lang w:val="en-US" w:eastAsia="zh-CN" w:bidi="ar-SA"/>
              </w:rPr>
            </w:pPr>
            <w:r>
              <w:rPr>
                <w:szCs w:val="21"/>
              </w:rPr>
              <w:t>GB 4943.1—2022</w:t>
            </w:r>
          </w:p>
        </w:tc>
        <w:tc>
          <w:tcPr>
            <w:tcW w:w="1354" w:type="pct"/>
            <w:noWrap w:val="0"/>
            <w:vAlign w:val="center"/>
          </w:tcPr>
          <w:p>
            <w:pPr>
              <w:snapToGrid w:val="0"/>
              <w:jc w:val="center"/>
              <w:rPr>
                <w:szCs w:val="21"/>
              </w:rPr>
            </w:pPr>
            <w:r>
              <w:rPr>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4</w:t>
            </w:r>
          </w:p>
        </w:tc>
        <w:tc>
          <w:tcPr>
            <w:tcW w:w="1954" w:type="pct"/>
            <w:noWrap w:val="0"/>
            <w:vAlign w:val="center"/>
          </w:tcPr>
          <w:p>
            <w:pPr>
              <w:jc w:val="center"/>
              <w:rPr>
                <w:spacing w:val="-12"/>
                <w:kern w:val="0"/>
                <w:sz w:val="21"/>
                <w:szCs w:val="21"/>
                <w:lang w:val="en-US" w:eastAsia="zh-CN" w:bidi="ar-SA"/>
              </w:rPr>
            </w:pPr>
            <w:r>
              <w:rPr>
                <w:szCs w:val="21"/>
              </w:rPr>
              <w:t>电气间隙</w:t>
            </w:r>
          </w:p>
        </w:tc>
        <w:tc>
          <w:tcPr>
            <w:tcW w:w="1448" w:type="pct"/>
            <w:noWrap w:val="0"/>
            <w:vAlign w:val="center"/>
          </w:tcPr>
          <w:p>
            <w:pPr>
              <w:snapToGrid w:val="0"/>
              <w:jc w:val="center"/>
              <w:rPr>
                <w:rFonts w:ascii="Times New Roman" w:hAnsi="Times New Roman" w:eastAsia="宋体" w:cs="Times New Roman"/>
                <w:kern w:val="2"/>
                <w:sz w:val="21"/>
                <w:szCs w:val="21"/>
                <w:lang w:val="en-US" w:eastAsia="zh-CN" w:bidi="ar-SA"/>
              </w:rPr>
            </w:pPr>
            <w:r>
              <w:rPr>
                <w:szCs w:val="21"/>
              </w:rPr>
              <w:t>GB 4943.1—2022</w:t>
            </w:r>
          </w:p>
        </w:tc>
        <w:tc>
          <w:tcPr>
            <w:tcW w:w="1354" w:type="pct"/>
            <w:noWrap w:val="0"/>
            <w:vAlign w:val="center"/>
          </w:tcPr>
          <w:p>
            <w:pPr>
              <w:snapToGrid w:val="0"/>
              <w:jc w:val="center"/>
              <w:rPr>
                <w:kern w:val="2"/>
                <w:sz w:val="21"/>
                <w:szCs w:val="21"/>
                <w:lang w:val="en-US" w:eastAsia="zh-CN" w:bidi="ar-SA"/>
              </w:rPr>
            </w:pPr>
            <w:r>
              <w:rPr>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5</w:t>
            </w:r>
          </w:p>
        </w:tc>
        <w:tc>
          <w:tcPr>
            <w:tcW w:w="1954" w:type="pct"/>
            <w:noWrap w:val="0"/>
            <w:vAlign w:val="center"/>
          </w:tcPr>
          <w:p>
            <w:pPr>
              <w:jc w:val="center"/>
              <w:rPr>
                <w:spacing w:val="-12"/>
                <w:kern w:val="0"/>
                <w:szCs w:val="21"/>
              </w:rPr>
            </w:pPr>
            <w:r>
              <w:rPr>
                <w:szCs w:val="21"/>
              </w:rPr>
              <w:t>爬电距离</w:t>
            </w:r>
          </w:p>
        </w:tc>
        <w:tc>
          <w:tcPr>
            <w:tcW w:w="1448" w:type="pct"/>
            <w:noWrap w:val="0"/>
            <w:vAlign w:val="center"/>
          </w:tcPr>
          <w:p>
            <w:pPr>
              <w:snapToGrid w:val="0"/>
              <w:jc w:val="center"/>
              <w:rPr>
                <w:rFonts w:ascii="Times New Roman" w:hAnsi="Times New Roman" w:eastAsia="宋体" w:cs="Times New Roman"/>
                <w:kern w:val="2"/>
                <w:sz w:val="21"/>
                <w:szCs w:val="21"/>
                <w:lang w:val="en-US" w:eastAsia="zh-CN" w:bidi="ar-SA"/>
              </w:rPr>
            </w:pPr>
            <w:r>
              <w:rPr>
                <w:szCs w:val="21"/>
              </w:rPr>
              <w:t>GB 4943.1—2022</w:t>
            </w:r>
          </w:p>
        </w:tc>
        <w:tc>
          <w:tcPr>
            <w:tcW w:w="1354" w:type="pct"/>
            <w:noWrap w:val="0"/>
            <w:vAlign w:val="center"/>
          </w:tcPr>
          <w:p>
            <w:pPr>
              <w:snapToGrid w:val="0"/>
              <w:jc w:val="center"/>
              <w:rPr>
                <w:szCs w:val="21"/>
              </w:rPr>
            </w:pPr>
            <w:r>
              <w:rPr>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6</w:t>
            </w:r>
          </w:p>
        </w:tc>
        <w:tc>
          <w:tcPr>
            <w:tcW w:w="1954" w:type="pct"/>
            <w:noWrap w:val="0"/>
            <w:vAlign w:val="center"/>
          </w:tcPr>
          <w:p>
            <w:pPr>
              <w:snapToGrid w:val="0"/>
              <w:jc w:val="center"/>
              <w:rPr>
                <w:szCs w:val="21"/>
              </w:rPr>
            </w:pPr>
            <w:r>
              <w:rPr>
                <w:szCs w:val="21"/>
              </w:rPr>
              <w:t>抗电强度试验</w:t>
            </w:r>
          </w:p>
        </w:tc>
        <w:tc>
          <w:tcPr>
            <w:tcW w:w="1448" w:type="pct"/>
            <w:noWrap w:val="0"/>
            <w:vAlign w:val="center"/>
          </w:tcPr>
          <w:p>
            <w:pPr>
              <w:snapToGrid w:val="0"/>
              <w:jc w:val="center"/>
              <w:rPr>
                <w:rFonts w:ascii="Times New Roman" w:hAnsi="Times New Roman" w:eastAsia="宋体" w:cs="Times New Roman"/>
                <w:kern w:val="2"/>
                <w:sz w:val="21"/>
                <w:szCs w:val="21"/>
                <w:lang w:val="en-US" w:eastAsia="zh-CN" w:bidi="ar-SA"/>
              </w:rPr>
            </w:pPr>
            <w:r>
              <w:rPr>
                <w:szCs w:val="21"/>
              </w:rPr>
              <w:t>GB 4943.1—2022</w:t>
            </w:r>
          </w:p>
        </w:tc>
        <w:tc>
          <w:tcPr>
            <w:tcW w:w="1354" w:type="pct"/>
            <w:noWrap w:val="0"/>
            <w:vAlign w:val="center"/>
          </w:tcPr>
          <w:p>
            <w:pPr>
              <w:snapToGrid w:val="0"/>
              <w:jc w:val="center"/>
              <w:rPr>
                <w:szCs w:val="21"/>
              </w:rPr>
            </w:pPr>
            <w:r>
              <w:rPr>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7</w:t>
            </w:r>
          </w:p>
        </w:tc>
        <w:tc>
          <w:tcPr>
            <w:tcW w:w="1954" w:type="pct"/>
            <w:noWrap w:val="0"/>
            <w:vAlign w:val="center"/>
          </w:tcPr>
          <w:p>
            <w:pPr>
              <w:jc w:val="center"/>
              <w:rPr>
                <w:kern w:val="0"/>
                <w:szCs w:val="21"/>
              </w:rPr>
            </w:pPr>
            <w:r>
              <w:rPr>
                <w:szCs w:val="21"/>
              </w:rPr>
              <w:t>预期的接触电压、接触电流和保护导体电流</w:t>
            </w:r>
          </w:p>
        </w:tc>
        <w:tc>
          <w:tcPr>
            <w:tcW w:w="1448" w:type="pct"/>
            <w:noWrap w:val="0"/>
            <w:vAlign w:val="center"/>
          </w:tcPr>
          <w:p>
            <w:pPr>
              <w:snapToGrid w:val="0"/>
              <w:jc w:val="center"/>
              <w:rPr>
                <w:rFonts w:ascii="Times New Roman" w:hAnsi="Times New Roman" w:eastAsia="宋体" w:cs="Times New Roman"/>
                <w:kern w:val="2"/>
                <w:sz w:val="21"/>
                <w:szCs w:val="21"/>
                <w:lang w:val="en-US" w:eastAsia="zh-CN" w:bidi="ar-SA"/>
              </w:rPr>
            </w:pPr>
            <w:r>
              <w:rPr>
                <w:szCs w:val="21"/>
              </w:rPr>
              <w:t>GB 4943.1—2022</w:t>
            </w:r>
          </w:p>
        </w:tc>
        <w:tc>
          <w:tcPr>
            <w:tcW w:w="1354" w:type="pct"/>
            <w:noWrap w:val="0"/>
            <w:vAlign w:val="center"/>
          </w:tcPr>
          <w:p>
            <w:pPr>
              <w:snapToGrid w:val="0"/>
              <w:jc w:val="center"/>
              <w:rPr>
                <w:szCs w:val="21"/>
              </w:rPr>
            </w:pPr>
            <w:r>
              <w:rPr>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8</w:t>
            </w:r>
          </w:p>
        </w:tc>
        <w:tc>
          <w:tcPr>
            <w:tcW w:w="1954" w:type="pct"/>
            <w:noWrap w:val="0"/>
            <w:vAlign w:val="center"/>
          </w:tcPr>
          <w:p>
            <w:pPr>
              <w:snapToGrid w:val="0"/>
              <w:jc w:val="center"/>
              <w:rPr>
                <w:szCs w:val="21"/>
              </w:rPr>
            </w:pPr>
            <w:r>
              <w:rPr>
                <w:szCs w:val="21"/>
              </w:rPr>
              <w:t>电源端子骚扰电压</w:t>
            </w:r>
          </w:p>
          <w:p>
            <w:pPr>
              <w:snapToGrid w:val="0"/>
              <w:jc w:val="center"/>
              <w:rPr>
                <w:szCs w:val="21"/>
              </w:rPr>
            </w:pPr>
            <w:r>
              <w:rPr>
                <w:szCs w:val="21"/>
              </w:rPr>
              <w:t>或交流电源端口的传导发射</w:t>
            </w:r>
          </w:p>
        </w:tc>
        <w:tc>
          <w:tcPr>
            <w:tcW w:w="1448" w:type="pct"/>
            <w:noWrap w:val="0"/>
            <w:vAlign w:val="center"/>
          </w:tcPr>
          <w:p>
            <w:pPr>
              <w:snapToGrid w:val="0"/>
              <w:ind w:firstLine="359" w:firstLineChars="171"/>
              <w:jc w:val="center"/>
              <w:rPr>
                <w:szCs w:val="21"/>
              </w:rPr>
            </w:pPr>
            <w:r>
              <w:rPr>
                <w:szCs w:val="21"/>
              </w:rPr>
              <w:t>GB/T 9254—2008及其第1号修改单</w:t>
            </w:r>
          </w:p>
          <w:p>
            <w:pPr>
              <w:snapToGrid w:val="0"/>
              <w:ind w:firstLine="359" w:firstLineChars="171"/>
              <w:jc w:val="center"/>
              <w:rPr>
                <w:rFonts w:ascii="Times New Roman" w:hAnsi="Times New Roman" w:eastAsia="宋体" w:cs="Times New Roman"/>
                <w:kern w:val="2"/>
                <w:sz w:val="21"/>
                <w:szCs w:val="21"/>
                <w:lang w:val="en-US" w:eastAsia="zh-CN" w:bidi="ar-SA"/>
              </w:rPr>
            </w:pPr>
            <w:r>
              <w:rPr>
                <w:szCs w:val="21"/>
              </w:rPr>
              <w:t>GB/T 9254.1—2021</w:t>
            </w:r>
          </w:p>
        </w:tc>
        <w:tc>
          <w:tcPr>
            <w:tcW w:w="1354" w:type="pct"/>
            <w:noWrap w:val="0"/>
            <w:vAlign w:val="center"/>
          </w:tcPr>
          <w:p>
            <w:pPr>
              <w:snapToGrid w:val="0"/>
              <w:ind w:firstLine="359" w:firstLineChars="171"/>
              <w:jc w:val="center"/>
              <w:rPr>
                <w:szCs w:val="21"/>
              </w:rPr>
            </w:pPr>
            <w:r>
              <w:rPr>
                <w:szCs w:val="21"/>
              </w:rPr>
              <w:t>GB/T 9254—2008及其第1号修改单</w:t>
            </w:r>
          </w:p>
          <w:p>
            <w:pPr>
              <w:snapToGrid w:val="0"/>
              <w:ind w:firstLine="359" w:firstLineChars="171"/>
              <w:jc w:val="center"/>
              <w:rPr>
                <w:szCs w:val="21"/>
              </w:rPr>
            </w:pPr>
            <w:r>
              <w:rPr>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9</w:t>
            </w:r>
          </w:p>
        </w:tc>
        <w:tc>
          <w:tcPr>
            <w:tcW w:w="1954" w:type="pct"/>
            <w:noWrap w:val="0"/>
            <w:vAlign w:val="center"/>
          </w:tcPr>
          <w:p>
            <w:pPr>
              <w:snapToGrid w:val="0"/>
              <w:jc w:val="center"/>
              <w:rPr>
                <w:szCs w:val="21"/>
              </w:rPr>
            </w:pPr>
            <w:r>
              <w:rPr>
                <w:szCs w:val="21"/>
              </w:rPr>
              <w:t>辐射骚扰（1GHz以下）</w:t>
            </w:r>
          </w:p>
          <w:p>
            <w:pPr>
              <w:snapToGrid w:val="0"/>
              <w:jc w:val="center"/>
              <w:rPr>
                <w:szCs w:val="21"/>
              </w:rPr>
            </w:pPr>
            <w:r>
              <w:rPr>
                <w:szCs w:val="21"/>
              </w:rPr>
              <w:t>或1GHz以下辐射发射</w:t>
            </w:r>
          </w:p>
        </w:tc>
        <w:tc>
          <w:tcPr>
            <w:tcW w:w="1448" w:type="pct"/>
            <w:noWrap w:val="0"/>
            <w:vAlign w:val="center"/>
          </w:tcPr>
          <w:p>
            <w:pPr>
              <w:snapToGrid w:val="0"/>
              <w:ind w:firstLine="359" w:firstLineChars="171"/>
              <w:jc w:val="center"/>
              <w:rPr>
                <w:szCs w:val="21"/>
              </w:rPr>
            </w:pPr>
            <w:r>
              <w:rPr>
                <w:szCs w:val="21"/>
              </w:rPr>
              <w:t>GB/T 9254—2008及其第1号修改单</w:t>
            </w:r>
          </w:p>
          <w:p>
            <w:pPr>
              <w:snapToGrid w:val="0"/>
              <w:ind w:firstLine="359" w:firstLineChars="171"/>
              <w:jc w:val="center"/>
              <w:rPr>
                <w:rFonts w:ascii="Times New Roman" w:hAnsi="Times New Roman" w:eastAsia="宋体" w:cs="Times New Roman"/>
                <w:kern w:val="2"/>
                <w:sz w:val="21"/>
                <w:szCs w:val="21"/>
                <w:lang w:val="en-US" w:eastAsia="zh-CN" w:bidi="ar-SA"/>
              </w:rPr>
            </w:pPr>
            <w:r>
              <w:rPr>
                <w:szCs w:val="21"/>
              </w:rPr>
              <w:t>GB/T 9254.1—2021</w:t>
            </w:r>
          </w:p>
        </w:tc>
        <w:tc>
          <w:tcPr>
            <w:tcW w:w="1354" w:type="pct"/>
            <w:noWrap w:val="0"/>
            <w:vAlign w:val="center"/>
          </w:tcPr>
          <w:p>
            <w:pPr>
              <w:snapToGrid w:val="0"/>
              <w:ind w:firstLine="359" w:firstLineChars="171"/>
              <w:jc w:val="center"/>
              <w:rPr>
                <w:szCs w:val="21"/>
              </w:rPr>
            </w:pPr>
            <w:r>
              <w:rPr>
                <w:szCs w:val="21"/>
              </w:rPr>
              <w:t>GB/T 9254—2008及其第1号修改单</w:t>
            </w:r>
          </w:p>
          <w:p>
            <w:pPr>
              <w:snapToGrid w:val="0"/>
              <w:ind w:firstLine="359" w:firstLineChars="171"/>
              <w:jc w:val="center"/>
              <w:rPr>
                <w:szCs w:val="21"/>
              </w:rPr>
            </w:pPr>
            <w:r>
              <w:rPr>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 w:type="pct"/>
            <w:noWrap w:val="0"/>
            <w:vAlign w:val="center"/>
          </w:tcPr>
          <w:p>
            <w:pPr>
              <w:snapToGrid w:val="0"/>
              <w:jc w:val="center"/>
              <w:rPr>
                <w:rFonts w:hint="default" w:eastAsia="宋体"/>
                <w:szCs w:val="21"/>
                <w:lang w:val="en-US" w:eastAsia="zh-CN"/>
              </w:rPr>
            </w:pPr>
            <w:r>
              <w:rPr>
                <w:rFonts w:hint="eastAsia"/>
                <w:szCs w:val="21"/>
                <w:lang w:val="en-US" w:eastAsia="zh-CN"/>
              </w:rPr>
              <w:t>10</w:t>
            </w:r>
          </w:p>
        </w:tc>
        <w:tc>
          <w:tcPr>
            <w:tcW w:w="1954" w:type="pct"/>
            <w:noWrap w:val="0"/>
            <w:vAlign w:val="center"/>
          </w:tcPr>
          <w:p>
            <w:pPr>
              <w:snapToGrid w:val="0"/>
              <w:jc w:val="center"/>
              <w:rPr>
                <w:szCs w:val="21"/>
              </w:rPr>
            </w:pPr>
            <w:r>
              <w:rPr>
                <w:szCs w:val="21"/>
              </w:rPr>
              <w:t>辐射骚扰（1GHz以上）</w:t>
            </w:r>
          </w:p>
          <w:p>
            <w:pPr>
              <w:snapToGrid w:val="0"/>
              <w:jc w:val="center"/>
              <w:rPr>
                <w:szCs w:val="21"/>
              </w:rPr>
            </w:pPr>
            <w:r>
              <w:rPr>
                <w:szCs w:val="21"/>
              </w:rPr>
              <w:t>或1GHz以上辐射发射</w:t>
            </w:r>
          </w:p>
        </w:tc>
        <w:tc>
          <w:tcPr>
            <w:tcW w:w="1448" w:type="pct"/>
            <w:noWrap w:val="0"/>
            <w:vAlign w:val="center"/>
          </w:tcPr>
          <w:p>
            <w:pPr>
              <w:snapToGrid w:val="0"/>
              <w:ind w:firstLine="359" w:firstLineChars="171"/>
              <w:jc w:val="center"/>
              <w:rPr>
                <w:szCs w:val="21"/>
              </w:rPr>
            </w:pPr>
            <w:r>
              <w:rPr>
                <w:szCs w:val="21"/>
              </w:rPr>
              <w:t>GB/T 9254—2008及其第1号修改单</w:t>
            </w:r>
          </w:p>
          <w:p>
            <w:pPr>
              <w:snapToGrid w:val="0"/>
              <w:ind w:firstLine="359" w:firstLineChars="171"/>
              <w:jc w:val="center"/>
              <w:rPr>
                <w:rFonts w:ascii="Times New Roman" w:hAnsi="Times New Roman" w:eastAsia="宋体" w:cs="Times New Roman"/>
                <w:kern w:val="2"/>
                <w:sz w:val="21"/>
                <w:szCs w:val="21"/>
                <w:lang w:val="en-US" w:eastAsia="zh-CN" w:bidi="ar-SA"/>
              </w:rPr>
            </w:pPr>
            <w:r>
              <w:rPr>
                <w:szCs w:val="21"/>
              </w:rPr>
              <w:t>GB/T 9254.1—2021</w:t>
            </w:r>
          </w:p>
        </w:tc>
        <w:tc>
          <w:tcPr>
            <w:tcW w:w="1354" w:type="pct"/>
            <w:noWrap w:val="0"/>
            <w:vAlign w:val="center"/>
          </w:tcPr>
          <w:p>
            <w:pPr>
              <w:snapToGrid w:val="0"/>
              <w:ind w:firstLine="359" w:firstLineChars="171"/>
              <w:jc w:val="center"/>
              <w:rPr>
                <w:szCs w:val="21"/>
              </w:rPr>
            </w:pPr>
            <w:r>
              <w:rPr>
                <w:szCs w:val="21"/>
              </w:rPr>
              <w:t>GB/T 9254—2008及其第1号修改单</w:t>
            </w:r>
          </w:p>
          <w:p>
            <w:pPr>
              <w:snapToGrid w:val="0"/>
              <w:ind w:firstLine="359" w:firstLineChars="171"/>
              <w:jc w:val="center"/>
              <w:rPr>
                <w:szCs w:val="21"/>
              </w:rPr>
            </w:pPr>
            <w:r>
              <w:rPr>
                <w:szCs w:val="21"/>
              </w:rPr>
              <w:t>GB/T 9254.1—2021</w:t>
            </w:r>
          </w:p>
        </w:tc>
      </w:tr>
    </w:tbl>
    <w:p>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359" w:firstLineChars="171"/>
        <w:rPr>
          <w:rFonts w:hint="eastAsia" w:ascii="宋体" w:hAnsi="宋体"/>
          <w:color w:val="000000"/>
          <w:szCs w:val="21"/>
        </w:rPr>
      </w:pPr>
    </w:p>
    <w:p>
      <w:pPr>
        <w:spacing w:line="360" w:lineRule="auto"/>
        <w:rPr>
          <w:rFonts w:hint="eastAsia"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Times New Roman" w:hAnsi="Times New Roman" w:eastAsia="宋体" w:cs="Times New Roman"/>
          <w:szCs w:val="21"/>
        </w:rPr>
        <w:t>3.1</w:t>
      </w:r>
      <w:r>
        <w:rPr>
          <w:rFonts w:hint="eastAsia" w:ascii="宋体" w:hAnsi="宋体"/>
          <w:color w:val="000000"/>
          <w:szCs w:val="21"/>
        </w:rPr>
        <w:t>依据标准</w:t>
      </w:r>
    </w:p>
    <w:p>
      <w:pPr>
        <w:snapToGrid w:val="0"/>
        <w:spacing w:line="440" w:lineRule="exact"/>
        <w:ind w:firstLine="420" w:firstLineChars="200"/>
        <w:rPr>
          <w:rFonts w:ascii="宋体" w:hAnsi="宋体"/>
          <w:color w:val="000000"/>
          <w:szCs w:val="21"/>
        </w:rPr>
      </w:pPr>
      <w:bookmarkStart w:id="0" w:name="_Hlk124239383"/>
      <w:r>
        <w:rPr>
          <w:rFonts w:ascii="Times New Roman" w:hAnsi="Times New Roman" w:eastAsia="宋体" w:cs="Times New Roman"/>
          <w:szCs w:val="21"/>
        </w:rPr>
        <w:t xml:space="preserve">GB 4943.1—2022 </w:t>
      </w:r>
      <w:r>
        <w:rPr>
          <w:rFonts w:ascii="宋体" w:hAnsi="宋体"/>
          <w:color w:val="000000"/>
          <w:szCs w:val="21"/>
        </w:rPr>
        <w:t>音视频、信息技术和通信技术设备 第1部分：安全要求</w:t>
      </w:r>
      <w:bookmarkEnd w:id="0"/>
    </w:p>
    <w:p>
      <w:pPr>
        <w:snapToGrid w:val="0"/>
        <w:spacing w:line="440" w:lineRule="exact"/>
        <w:ind w:firstLine="420" w:firstLineChars="200"/>
        <w:rPr>
          <w:rFonts w:ascii="宋体" w:hAnsi="宋体"/>
          <w:color w:val="000000"/>
          <w:szCs w:val="21"/>
        </w:rPr>
      </w:pPr>
      <w:r>
        <w:rPr>
          <w:rFonts w:hint="eastAsia" w:ascii="Times New Roman" w:hAnsi="Times New Roman" w:eastAsia="宋体" w:cs="Times New Roman"/>
          <w:szCs w:val="21"/>
        </w:rPr>
        <w:t>GB/T 9254—2008</w:t>
      </w:r>
      <w:r>
        <w:rPr>
          <w:rFonts w:ascii="宋体" w:hAnsi="宋体"/>
          <w:color w:val="000000"/>
          <w:szCs w:val="21"/>
        </w:rPr>
        <w:t xml:space="preserve"> 信息技术设备的无线电骚扰 限值和测量方法 及其第1号修改单</w:t>
      </w:r>
    </w:p>
    <w:p>
      <w:pPr>
        <w:snapToGrid w:val="0"/>
        <w:spacing w:line="440" w:lineRule="exact"/>
        <w:ind w:firstLine="420" w:firstLineChars="200"/>
        <w:rPr>
          <w:rFonts w:ascii="宋体" w:hAnsi="宋体"/>
          <w:color w:val="000000"/>
          <w:szCs w:val="21"/>
        </w:rPr>
      </w:pPr>
      <w:r>
        <w:rPr>
          <w:rFonts w:hint="eastAsia" w:ascii="Times New Roman" w:hAnsi="Times New Roman" w:eastAsia="宋体" w:cs="Times New Roman"/>
          <w:szCs w:val="21"/>
        </w:rPr>
        <w:t>GB/T 9254.1—2021</w:t>
      </w:r>
      <w:r>
        <w:rPr>
          <w:rFonts w:ascii="宋体" w:hAnsi="宋体"/>
          <w:color w:val="000000"/>
          <w:szCs w:val="21"/>
        </w:rPr>
        <w:t xml:space="preserve"> 信息技术设备、多媒体设备和接收机 电磁兼容 第1部分</w:t>
      </w:r>
      <w:bookmarkStart w:id="1" w:name="_Hlk101769081"/>
      <w:r>
        <w:rPr>
          <w:rFonts w:ascii="宋体" w:hAnsi="宋体"/>
          <w:color w:val="000000"/>
          <w:szCs w:val="21"/>
        </w:rPr>
        <w:t>：</w:t>
      </w:r>
      <w:bookmarkEnd w:id="1"/>
      <w:r>
        <w:rPr>
          <w:rFonts w:ascii="宋体" w:hAnsi="宋体"/>
          <w:color w:val="000000"/>
          <w:szCs w:val="21"/>
        </w:rPr>
        <w:t>发射要求</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Times New Roman" w:hAnsi="Times New Roman" w:eastAsia="宋体" w:cs="Times New Roman"/>
          <w:szCs w:val="21"/>
        </w:rPr>
        <w:t>3.2</w:t>
      </w:r>
      <w:r>
        <w:rPr>
          <w:rFonts w:hint="eastAsia" w:ascii="宋体" w:hAnsi="宋体"/>
          <w:color w:val="000000"/>
          <w:szCs w:val="21"/>
        </w:rPr>
        <w:t>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hint="eastAsia" w:ascii="宋体" w:hAnsi="宋体"/>
          <w:color w:val="000000"/>
          <w:szCs w:val="21"/>
        </w:rPr>
      </w:pPr>
    </w:p>
    <w:p>
      <w:pPr>
        <w:spacing w:line="440" w:lineRule="exact"/>
        <w:ind w:firstLine="420" w:firstLineChars="200"/>
        <w:rPr>
          <w:rFonts w:hint="eastAsia"/>
          <w:color w:val="FF0000"/>
          <w:szCs w:val="21"/>
        </w:rPr>
      </w:pPr>
    </w:p>
    <w:p>
      <w:pPr>
        <w:spacing w:line="440" w:lineRule="exact"/>
        <w:rPr>
          <w:rFonts w:hint="eastAsia" w:ascii="宋体" w:hAnsi="宋体"/>
          <w:color w:val="00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jNWUwMDgzOTg1MDU1NGM1NmFjNjZiMDU2NmM4NDcifQ=="/>
  </w:docVars>
  <w:rsids>
    <w:rsidRoot w:val="00172A27"/>
    <w:rsid w:val="00051A44"/>
    <w:rsid w:val="00081CBD"/>
    <w:rsid w:val="000976DE"/>
    <w:rsid w:val="000C7F04"/>
    <w:rsid w:val="000E64EC"/>
    <w:rsid w:val="00123D1C"/>
    <w:rsid w:val="001809DD"/>
    <w:rsid w:val="001F7B4D"/>
    <w:rsid w:val="002248FC"/>
    <w:rsid w:val="00232530"/>
    <w:rsid w:val="00253624"/>
    <w:rsid w:val="00257D6A"/>
    <w:rsid w:val="002A4E85"/>
    <w:rsid w:val="002D7F8A"/>
    <w:rsid w:val="002E0D1D"/>
    <w:rsid w:val="002E3CBD"/>
    <w:rsid w:val="00314EA5"/>
    <w:rsid w:val="003203A3"/>
    <w:rsid w:val="00365CBE"/>
    <w:rsid w:val="003A7D30"/>
    <w:rsid w:val="003C388C"/>
    <w:rsid w:val="003C5CBC"/>
    <w:rsid w:val="003D09A1"/>
    <w:rsid w:val="003E61BF"/>
    <w:rsid w:val="004104AC"/>
    <w:rsid w:val="00445E86"/>
    <w:rsid w:val="0045434D"/>
    <w:rsid w:val="00474E04"/>
    <w:rsid w:val="004D0C5A"/>
    <w:rsid w:val="004D184C"/>
    <w:rsid w:val="004E1396"/>
    <w:rsid w:val="004E6C21"/>
    <w:rsid w:val="00563EBC"/>
    <w:rsid w:val="005C747C"/>
    <w:rsid w:val="006E1171"/>
    <w:rsid w:val="006F0971"/>
    <w:rsid w:val="00706A62"/>
    <w:rsid w:val="0072334C"/>
    <w:rsid w:val="007A4D3E"/>
    <w:rsid w:val="00895BEA"/>
    <w:rsid w:val="008A3497"/>
    <w:rsid w:val="00917A54"/>
    <w:rsid w:val="00A05840"/>
    <w:rsid w:val="00A23D98"/>
    <w:rsid w:val="00A43553"/>
    <w:rsid w:val="00A51A2A"/>
    <w:rsid w:val="00AB0E18"/>
    <w:rsid w:val="00AC5391"/>
    <w:rsid w:val="00B65F23"/>
    <w:rsid w:val="00BF2B8C"/>
    <w:rsid w:val="00C26074"/>
    <w:rsid w:val="00C83B0A"/>
    <w:rsid w:val="00CE1E0C"/>
    <w:rsid w:val="00CE277E"/>
    <w:rsid w:val="00D46665"/>
    <w:rsid w:val="00D56867"/>
    <w:rsid w:val="00D93CCA"/>
    <w:rsid w:val="00E02A7F"/>
    <w:rsid w:val="00E07880"/>
    <w:rsid w:val="00E533E6"/>
    <w:rsid w:val="00E82621"/>
    <w:rsid w:val="00F77C9A"/>
    <w:rsid w:val="00FB576C"/>
    <w:rsid w:val="00FD2AA6"/>
    <w:rsid w:val="00FE7E8A"/>
    <w:rsid w:val="0FA87E48"/>
    <w:rsid w:val="1A597193"/>
    <w:rsid w:val="20971CA1"/>
    <w:rsid w:val="277A0467"/>
    <w:rsid w:val="49557320"/>
    <w:rsid w:val="4FC76963"/>
    <w:rsid w:val="51A35652"/>
    <w:rsid w:val="52DA5D7A"/>
    <w:rsid w:val="5B791466"/>
    <w:rsid w:val="5E357437"/>
    <w:rsid w:val="6C3A2120"/>
    <w:rsid w:val="6E841096"/>
    <w:rsid w:val="71022FDE"/>
    <w:rsid w:val="7752129A"/>
    <w:rsid w:val="7A1D0398"/>
    <w:rsid w:val="7A276AF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unhideWhenUsed/>
    <w:uiPriority w:val="99"/>
    <w:tblPr>
      <w:tblCellMar>
        <w:top w:w="0" w:type="dxa"/>
        <w:left w:w="108" w:type="dxa"/>
        <w:bottom w:w="0" w:type="dxa"/>
        <w:right w:w="108" w:type="dxa"/>
      </w:tblCellMar>
    </w:tblPr>
  </w:style>
  <w:style w:type="paragraph" w:styleId="2">
    <w:name w:val="annotation text"/>
    <w:basedOn w:val="1"/>
    <w:link w:val="11"/>
    <w:unhideWhenUsed/>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qFormat/>
    <w:uiPriority w:val="0"/>
  </w:style>
  <w:style w:type="character" w:styleId="10">
    <w:name w:val="annotation reference"/>
    <w:unhideWhenUsed/>
    <w:qFormat/>
    <w:uiPriority w:val="99"/>
    <w:rPr>
      <w:sz w:val="21"/>
      <w:szCs w:val="21"/>
    </w:rPr>
  </w:style>
  <w:style w:type="character" w:customStyle="1" w:styleId="11">
    <w:name w:val="批注文字 字符"/>
    <w:link w:val="2"/>
    <w:semiHidden/>
    <w:qFormat/>
    <w:uiPriority w:val="99"/>
    <w:rPr>
      <w:kern w:val="2"/>
      <w:sz w:val="21"/>
      <w:szCs w:val="24"/>
    </w:rPr>
  </w:style>
  <w:style w:type="character" w:customStyle="1" w:styleId="12">
    <w:name w:val="批注框文本 字符"/>
    <w:link w:val="3"/>
    <w:semiHidden/>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页眉 字符"/>
    <w:link w:val="5"/>
    <w:semiHidden/>
    <w:qFormat/>
    <w:uiPriority w:val="99"/>
    <w:rPr>
      <w:kern w:val="2"/>
      <w:sz w:val="18"/>
      <w:szCs w:val="18"/>
    </w:rPr>
  </w:style>
  <w:style w:type="character" w:customStyle="1" w:styleId="15">
    <w:name w:val="批注主题 字符"/>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192</Words>
  <Characters>1100</Characters>
  <Lines>9</Lines>
  <Paragraphs>2</Paragraphs>
  <TotalTime>0</TotalTime>
  <ScaleCrop>false</ScaleCrop>
  <LinksUpToDate>false</LinksUpToDate>
  <CharactersWithSpaces>1290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2024-01-17T09:22:00Z</dcterms:created>
  <dc:creator>Legend User</dc:creator>
  <cp:lastModifiedBy>宋翊</cp:lastModifiedBy>
  <cp:lastPrinted>2019-12-05T07:53:00Z</cp:lastPrinted>
  <dcterms:modified xsi:type="dcterms:W3CDTF">2024-04-19T06:23:16Z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commondata">
    <vt:lpwstr>eyJoZGlkIjoiNDRmZDlmMjdkNDI1NjEzMmI2Y2M4ZTAxODQ5YmJlMTYifQ==</vt:lpwstr>
  </property>
  <property fmtid="{D5CDD505-2E9C-101B-9397-08002B2CF9AE}" pid="4" name="ICV">
    <vt:lpwstr>CE2C1F9F32344563A06E6990F660EFB6_13</vt:lpwstr>
  </property>
</Properties>
</file>