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Cs w:val="32"/>
        </w:rPr>
      </w:pPr>
      <w:r>
        <w:rPr>
          <w:rFonts w:hint="eastAsia" w:ascii="黑体" w:hAnsi="黑体" w:eastAsia="黑体" w:cs="黑体"/>
          <w:szCs w:val="32"/>
        </w:rPr>
        <w:t>附件4</w:t>
      </w:r>
    </w:p>
    <w:p>
      <w:pPr>
        <w:snapToGrid w:val="0"/>
        <w:rPr>
          <w:rFonts w:hint="eastAsia" w:ascii="仿宋_GB2312" w:hAnsi="黑体" w:cs="黑体"/>
          <w:szCs w:val="32"/>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区政府规范性文件清理目录（废止）</w:t>
      </w:r>
    </w:p>
    <w:p>
      <w:pPr>
        <w:spacing w:line="560" w:lineRule="exact"/>
        <w:jc w:val="center"/>
        <w:rPr>
          <w:rFonts w:hint="eastAsia" w:ascii="仿宋_GB2312" w:hAnsi="仿宋_GB2312" w:cs="仿宋_GB2312"/>
          <w:szCs w:val="32"/>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7"/>
        <w:gridCol w:w="10256"/>
        <w:gridCol w:w="2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06" w:type="dxa"/>
            <w:gridSpan w:val="2"/>
            <w:noWrap w:val="0"/>
            <w:vAlign w:val="top"/>
          </w:tcPr>
          <w:p>
            <w:pPr>
              <w:jc w:val="center"/>
              <w:rPr>
                <w:rFonts w:hint="eastAsia" w:ascii="宋体" w:hAnsi="宋体" w:eastAsia="宋体" w:cs="宋体"/>
                <w:b/>
                <w:bCs/>
                <w:sz w:val="28"/>
                <w:szCs w:val="28"/>
              </w:rPr>
            </w:pPr>
            <w:r>
              <w:rPr>
                <w:rFonts w:hint="eastAsia" w:ascii="宋体" w:hAnsi="宋体" w:eastAsia="宋体" w:cs="宋体"/>
                <w:b/>
                <w:bCs/>
                <w:sz w:val="28"/>
                <w:szCs w:val="28"/>
              </w:rPr>
              <w:t>序号</w:t>
            </w:r>
          </w:p>
        </w:tc>
        <w:tc>
          <w:tcPr>
            <w:tcW w:w="10256" w:type="dxa"/>
            <w:noWrap w:val="0"/>
            <w:vAlign w:val="top"/>
          </w:tcPr>
          <w:p>
            <w:pPr>
              <w:jc w:val="center"/>
              <w:rPr>
                <w:rFonts w:hint="eastAsia" w:ascii="宋体" w:hAnsi="宋体" w:eastAsia="宋体" w:cs="宋体"/>
                <w:b/>
                <w:bCs/>
                <w:sz w:val="28"/>
                <w:szCs w:val="28"/>
              </w:rPr>
            </w:pPr>
            <w:r>
              <w:rPr>
                <w:rFonts w:hint="eastAsia" w:ascii="宋体" w:hAnsi="宋体" w:eastAsia="宋体" w:cs="宋体"/>
                <w:b/>
                <w:bCs/>
                <w:sz w:val="28"/>
                <w:szCs w:val="28"/>
              </w:rPr>
              <w:t>文件名称</w:t>
            </w:r>
          </w:p>
        </w:tc>
        <w:tc>
          <w:tcPr>
            <w:tcW w:w="2498" w:type="dxa"/>
            <w:noWrap w:val="0"/>
            <w:vAlign w:val="top"/>
          </w:tcPr>
          <w:p>
            <w:pPr>
              <w:jc w:val="center"/>
              <w:rPr>
                <w:rFonts w:hint="eastAsia" w:ascii="宋体" w:hAnsi="宋体" w:eastAsia="宋体" w:cs="宋体"/>
                <w:b/>
                <w:bCs/>
                <w:sz w:val="28"/>
                <w:szCs w:val="28"/>
              </w:rPr>
            </w:pPr>
            <w:r>
              <w:rPr>
                <w:rFonts w:hint="eastAsia" w:ascii="宋体" w:hAnsi="宋体" w:eastAsia="宋体" w:cs="宋体"/>
                <w:b/>
                <w:bCs/>
                <w:sz w:val="28"/>
                <w:szCs w:val="28"/>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06" w:type="dxa"/>
            <w:gridSpan w:val="2"/>
            <w:noWrap w:val="0"/>
            <w:vAlign w:val="center"/>
          </w:tcPr>
          <w:p>
            <w:pPr>
              <w:jc w:val="center"/>
              <w:rPr>
                <w:rFonts w:ascii="仿宋_GB2312" w:hAnsi="仿宋_GB2312" w:cs="仿宋_GB2312"/>
                <w:sz w:val="24"/>
                <w:szCs w:val="24"/>
              </w:rPr>
            </w:pPr>
            <w:r>
              <w:rPr>
                <w:rFonts w:hint="eastAsia" w:ascii="仿宋_GB2312" w:hAnsi="仿宋_GB2312" w:cs="仿宋_GB2312"/>
                <w:sz w:val="24"/>
                <w:szCs w:val="24"/>
              </w:rPr>
              <w:t>1</w:t>
            </w:r>
          </w:p>
        </w:tc>
        <w:tc>
          <w:tcPr>
            <w:tcW w:w="10256" w:type="dxa"/>
            <w:noWrap w:val="0"/>
            <w:vAlign w:val="center"/>
          </w:tcPr>
          <w:p>
            <w:pPr>
              <w:rPr>
                <w:rFonts w:hint="eastAsia" w:ascii="仿宋_GB2312" w:hAnsi="仿宋_GB2312" w:cs="仿宋_GB2312"/>
                <w:sz w:val="24"/>
                <w:szCs w:val="24"/>
              </w:rPr>
            </w:pPr>
            <w:r>
              <w:rPr>
                <w:rFonts w:hint="eastAsia" w:ascii="仿宋_GB2312" w:hAnsi="仿宋_GB2312" w:cs="仿宋_GB2312"/>
                <w:sz w:val="24"/>
                <w:szCs w:val="24"/>
              </w:rPr>
              <w:t>广州市花都区人民政府办公室关于印发《花都区政府投资建设项目管理办法》的通知</w:t>
            </w:r>
          </w:p>
        </w:tc>
        <w:tc>
          <w:tcPr>
            <w:tcW w:w="2498" w:type="dxa"/>
            <w:noWrap w:val="0"/>
            <w:vAlign w:val="center"/>
          </w:tcPr>
          <w:p>
            <w:pPr>
              <w:rPr>
                <w:rFonts w:hint="eastAsia" w:ascii="仿宋_GB2312" w:hAnsi="仿宋_GB2312" w:cs="仿宋_GB2312"/>
                <w:sz w:val="24"/>
                <w:szCs w:val="24"/>
              </w:rPr>
            </w:pPr>
            <w:r>
              <w:rPr>
                <w:rFonts w:hint="eastAsia" w:ascii="仿宋_GB2312" w:hAnsi="仿宋_GB2312" w:cs="仿宋_GB2312"/>
                <w:sz w:val="24"/>
                <w:szCs w:val="24"/>
              </w:rPr>
              <w:t>花府办〔2015〕1号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106" w:type="dxa"/>
            <w:gridSpan w:val="2"/>
            <w:noWrap w:val="0"/>
            <w:vAlign w:val="center"/>
          </w:tcPr>
          <w:p>
            <w:pPr>
              <w:jc w:val="center"/>
              <w:rPr>
                <w:rFonts w:ascii="仿宋_GB2312" w:hAnsi="仿宋_GB2312" w:cs="仿宋_GB2312"/>
                <w:sz w:val="24"/>
                <w:szCs w:val="24"/>
              </w:rPr>
            </w:pPr>
            <w:r>
              <w:rPr>
                <w:rFonts w:hint="eastAsia" w:ascii="仿宋_GB2312" w:hAnsi="仿宋_GB2312" w:cs="仿宋_GB2312"/>
                <w:sz w:val="24"/>
                <w:szCs w:val="24"/>
              </w:rPr>
              <w:t>2</w:t>
            </w:r>
          </w:p>
        </w:tc>
        <w:tc>
          <w:tcPr>
            <w:tcW w:w="10256" w:type="dxa"/>
            <w:noWrap w:val="0"/>
            <w:vAlign w:val="center"/>
          </w:tcPr>
          <w:p>
            <w:pPr>
              <w:rPr>
                <w:rFonts w:hint="eastAsia" w:ascii="仿宋_GB2312" w:hAnsi="仿宋_GB2312" w:cs="仿宋_GB2312"/>
                <w:sz w:val="24"/>
                <w:szCs w:val="24"/>
              </w:rPr>
            </w:pPr>
            <w:r>
              <w:rPr>
                <w:rFonts w:hint="eastAsia" w:ascii="仿宋_GB2312" w:hAnsi="仿宋_GB2312" w:cs="仿宋_GB2312"/>
                <w:sz w:val="24"/>
                <w:szCs w:val="24"/>
              </w:rPr>
              <w:t>广州市花都区人民政府办公室关于印发《花都区支持金融法人企业发展办法》的通知</w:t>
            </w:r>
          </w:p>
        </w:tc>
        <w:tc>
          <w:tcPr>
            <w:tcW w:w="2498" w:type="dxa"/>
            <w:noWrap w:val="0"/>
            <w:vAlign w:val="center"/>
          </w:tcPr>
          <w:p>
            <w:pPr>
              <w:rPr>
                <w:rFonts w:hint="eastAsia" w:ascii="仿宋_GB2312" w:hAnsi="仿宋_GB2312" w:cs="仿宋_GB2312"/>
                <w:sz w:val="24"/>
                <w:szCs w:val="24"/>
              </w:rPr>
            </w:pPr>
            <w:r>
              <w:rPr>
                <w:rFonts w:hint="eastAsia" w:ascii="仿宋_GB2312" w:hAnsi="仿宋_GB2312" w:cs="仿宋_GB2312"/>
                <w:sz w:val="24"/>
                <w:szCs w:val="24"/>
              </w:rPr>
              <w:t>花府办〔2016〕17号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06" w:type="dxa"/>
            <w:gridSpan w:val="2"/>
            <w:noWrap w:val="0"/>
            <w:vAlign w:val="center"/>
          </w:tcPr>
          <w:p>
            <w:pPr>
              <w:jc w:val="center"/>
              <w:rPr>
                <w:rFonts w:ascii="仿宋_GB2312" w:hAnsi="仿宋_GB2312" w:cs="仿宋_GB2312"/>
                <w:sz w:val="24"/>
                <w:szCs w:val="24"/>
              </w:rPr>
            </w:pPr>
            <w:r>
              <w:rPr>
                <w:rFonts w:hint="eastAsia" w:ascii="仿宋_GB2312" w:hAnsi="仿宋_GB2312" w:cs="仿宋_GB2312"/>
                <w:sz w:val="24"/>
                <w:szCs w:val="24"/>
              </w:rPr>
              <w:t>3</w:t>
            </w:r>
          </w:p>
        </w:tc>
        <w:tc>
          <w:tcPr>
            <w:tcW w:w="10256" w:type="dxa"/>
            <w:noWrap w:val="0"/>
            <w:vAlign w:val="center"/>
          </w:tcPr>
          <w:p>
            <w:pPr>
              <w:rPr>
                <w:rFonts w:hint="eastAsia" w:ascii="仿宋_GB2312" w:hAnsi="仿宋_GB2312" w:cs="仿宋_GB2312"/>
                <w:sz w:val="24"/>
                <w:szCs w:val="24"/>
              </w:rPr>
            </w:pPr>
            <w:r>
              <w:rPr>
                <w:rFonts w:hint="eastAsia" w:ascii="仿宋_GB2312" w:hAnsi="仿宋_GB2312" w:cs="仿宋_GB2312"/>
                <w:sz w:val="24"/>
                <w:szCs w:val="24"/>
              </w:rPr>
              <w:t>广州市花都区人民政府办公室关于印发《花都区电子商务产业发展扶持办法》的通知</w:t>
            </w:r>
          </w:p>
        </w:tc>
        <w:tc>
          <w:tcPr>
            <w:tcW w:w="2498" w:type="dxa"/>
            <w:noWrap w:val="0"/>
            <w:vAlign w:val="center"/>
          </w:tcPr>
          <w:p>
            <w:pPr>
              <w:rPr>
                <w:rFonts w:hint="eastAsia" w:ascii="仿宋_GB2312" w:hAnsi="仿宋_GB2312" w:cs="仿宋_GB2312"/>
                <w:sz w:val="24"/>
                <w:szCs w:val="24"/>
              </w:rPr>
            </w:pPr>
            <w:r>
              <w:rPr>
                <w:rFonts w:hint="eastAsia" w:ascii="仿宋_GB2312" w:hAnsi="仿宋_GB2312" w:cs="仿宋_GB2312"/>
                <w:sz w:val="24"/>
                <w:szCs w:val="24"/>
              </w:rPr>
              <w:t>花府办〔2017〕56号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106" w:type="dxa"/>
            <w:gridSpan w:val="2"/>
            <w:noWrap w:val="0"/>
            <w:vAlign w:val="center"/>
          </w:tcPr>
          <w:p>
            <w:pPr>
              <w:jc w:val="center"/>
              <w:rPr>
                <w:rFonts w:ascii="仿宋_GB2312" w:hAnsi="仿宋_GB2312" w:cs="仿宋_GB2312"/>
                <w:sz w:val="24"/>
                <w:szCs w:val="24"/>
              </w:rPr>
            </w:pPr>
            <w:r>
              <w:rPr>
                <w:rFonts w:hint="eastAsia" w:ascii="仿宋_GB2312" w:hAnsi="仿宋_GB2312" w:cs="仿宋_GB2312"/>
                <w:sz w:val="24"/>
                <w:szCs w:val="24"/>
              </w:rPr>
              <w:t>4</w:t>
            </w:r>
          </w:p>
        </w:tc>
        <w:tc>
          <w:tcPr>
            <w:tcW w:w="10256" w:type="dxa"/>
            <w:noWrap w:val="0"/>
            <w:vAlign w:val="center"/>
          </w:tcPr>
          <w:p>
            <w:pPr>
              <w:rPr>
                <w:rFonts w:hint="eastAsia" w:ascii="仿宋_GB2312" w:hAnsi="仿宋_GB2312" w:cs="仿宋_GB2312"/>
                <w:sz w:val="24"/>
                <w:szCs w:val="24"/>
              </w:rPr>
            </w:pPr>
            <w:r>
              <w:rPr>
                <w:rFonts w:hint="eastAsia" w:ascii="仿宋_GB2312" w:hAnsi="仿宋_GB2312" w:cs="仿宋_GB2312"/>
                <w:sz w:val="24"/>
                <w:szCs w:val="24"/>
              </w:rPr>
              <w:t>广州市花都区人民政府办公室关于印发《关于推进花都区农村村民公寓式住宅建设的实施意见》的通知</w:t>
            </w:r>
          </w:p>
        </w:tc>
        <w:tc>
          <w:tcPr>
            <w:tcW w:w="2498" w:type="dxa"/>
            <w:noWrap w:val="0"/>
            <w:vAlign w:val="center"/>
          </w:tcPr>
          <w:p>
            <w:pPr>
              <w:rPr>
                <w:rFonts w:hint="eastAsia" w:ascii="仿宋_GB2312" w:hAnsi="仿宋_GB2312" w:cs="仿宋_GB2312"/>
                <w:sz w:val="24"/>
                <w:szCs w:val="24"/>
              </w:rPr>
            </w:pPr>
            <w:r>
              <w:rPr>
                <w:rFonts w:hint="eastAsia" w:ascii="仿宋_GB2312" w:hAnsi="仿宋_GB2312" w:cs="仿宋_GB2312"/>
                <w:sz w:val="24"/>
                <w:szCs w:val="24"/>
              </w:rPr>
              <w:t>花府办〔2016〕6号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089" w:type="dxa"/>
            <w:noWrap w:val="0"/>
            <w:vAlign w:val="center"/>
          </w:tcPr>
          <w:p>
            <w:pPr>
              <w:jc w:val="center"/>
              <w:rPr>
                <w:rFonts w:ascii="仿宋_GB2312" w:hAnsi="仿宋_GB2312" w:cs="仿宋_GB2312"/>
                <w:sz w:val="24"/>
                <w:szCs w:val="24"/>
              </w:rPr>
            </w:pPr>
            <w:r>
              <w:rPr>
                <w:rFonts w:hint="eastAsia" w:ascii="仿宋_GB2312" w:hAnsi="仿宋_GB2312" w:cs="仿宋_GB2312"/>
                <w:sz w:val="24"/>
                <w:szCs w:val="24"/>
              </w:rPr>
              <w:t>5</w:t>
            </w:r>
          </w:p>
        </w:tc>
        <w:tc>
          <w:tcPr>
            <w:tcW w:w="10273" w:type="dxa"/>
            <w:gridSpan w:val="2"/>
            <w:noWrap w:val="0"/>
            <w:vAlign w:val="center"/>
          </w:tcPr>
          <w:p>
            <w:pPr>
              <w:rPr>
                <w:rFonts w:hint="eastAsia" w:ascii="仿宋_GB2312" w:hAnsi="仿宋_GB2312" w:cs="仿宋_GB2312"/>
                <w:sz w:val="24"/>
                <w:szCs w:val="24"/>
              </w:rPr>
            </w:pPr>
            <w:r>
              <w:rPr>
                <w:rFonts w:hint="eastAsia" w:ascii="仿宋_GB2312" w:hAnsi="仿宋_GB2312" w:cs="仿宋_GB2312"/>
                <w:sz w:val="24"/>
                <w:szCs w:val="24"/>
              </w:rPr>
              <w:t>广州市花都区人民政府办公室关于印发《花都区公立医疗卫生机构高层次卫生人才队伍建设及管理的实施办法（试行）》的通知</w:t>
            </w:r>
          </w:p>
        </w:tc>
        <w:tc>
          <w:tcPr>
            <w:tcW w:w="2498" w:type="dxa"/>
            <w:noWrap w:val="0"/>
            <w:vAlign w:val="center"/>
          </w:tcPr>
          <w:p>
            <w:pPr>
              <w:rPr>
                <w:rFonts w:hint="eastAsia" w:ascii="仿宋_GB2312" w:hAnsi="仿宋_GB2312" w:cs="仿宋_GB2312"/>
                <w:sz w:val="24"/>
                <w:szCs w:val="24"/>
              </w:rPr>
            </w:pPr>
            <w:r>
              <w:rPr>
                <w:rFonts w:hint="eastAsia" w:ascii="仿宋_GB2312" w:hAnsi="仿宋_GB2312" w:cs="仿宋_GB2312"/>
                <w:sz w:val="24"/>
                <w:szCs w:val="24"/>
              </w:rPr>
              <w:t>花府办〔2015〕10号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89" w:type="dxa"/>
            <w:noWrap w:val="0"/>
            <w:vAlign w:val="center"/>
          </w:tcPr>
          <w:p>
            <w:pPr>
              <w:jc w:val="center"/>
              <w:rPr>
                <w:rFonts w:ascii="仿宋_GB2312" w:hAnsi="仿宋_GB2312" w:cs="仿宋_GB2312"/>
                <w:sz w:val="24"/>
                <w:szCs w:val="24"/>
              </w:rPr>
            </w:pPr>
            <w:r>
              <w:rPr>
                <w:rFonts w:hint="eastAsia" w:ascii="仿宋_GB2312" w:hAnsi="仿宋_GB2312" w:cs="仿宋_GB2312"/>
                <w:sz w:val="24"/>
                <w:szCs w:val="24"/>
              </w:rPr>
              <w:t>6</w:t>
            </w:r>
          </w:p>
        </w:tc>
        <w:tc>
          <w:tcPr>
            <w:tcW w:w="10273" w:type="dxa"/>
            <w:gridSpan w:val="2"/>
            <w:noWrap w:val="0"/>
            <w:vAlign w:val="center"/>
          </w:tcPr>
          <w:p>
            <w:pPr>
              <w:rPr>
                <w:rFonts w:hint="eastAsia" w:ascii="仿宋_GB2312" w:hAnsi="仿宋_GB2312" w:cs="仿宋_GB2312"/>
                <w:sz w:val="24"/>
                <w:szCs w:val="24"/>
              </w:rPr>
            </w:pPr>
            <w:r>
              <w:rPr>
                <w:rFonts w:hint="eastAsia" w:ascii="仿宋_GB2312" w:hAnsi="仿宋_GB2312" w:cs="仿宋_GB2312"/>
                <w:sz w:val="24"/>
                <w:szCs w:val="24"/>
              </w:rPr>
              <w:t>广州市花都区人民政府办公室关于印发《花都区农村计划生育家庭节育奖励实施办法》的通知</w:t>
            </w:r>
          </w:p>
        </w:tc>
        <w:tc>
          <w:tcPr>
            <w:tcW w:w="2498" w:type="dxa"/>
            <w:noWrap w:val="0"/>
            <w:vAlign w:val="center"/>
          </w:tcPr>
          <w:p>
            <w:pPr>
              <w:rPr>
                <w:rFonts w:hint="eastAsia" w:ascii="仿宋_GB2312" w:hAnsi="仿宋_GB2312" w:cs="仿宋_GB2312"/>
                <w:sz w:val="24"/>
                <w:szCs w:val="24"/>
              </w:rPr>
            </w:pPr>
            <w:r>
              <w:rPr>
                <w:rFonts w:hint="eastAsia" w:ascii="仿宋_GB2312" w:hAnsi="仿宋_GB2312" w:cs="仿宋_GB2312"/>
                <w:sz w:val="24"/>
                <w:szCs w:val="24"/>
              </w:rPr>
              <w:t>花府办〔2017〕60号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89" w:type="dxa"/>
            <w:noWrap w:val="0"/>
            <w:vAlign w:val="center"/>
          </w:tcPr>
          <w:p>
            <w:pPr>
              <w:jc w:val="center"/>
              <w:rPr>
                <w:rFonts w:ascii="仿宋_GB2312" w:hAnsi="仿宋_GB2312" w:cs="仿宋_GB2312"/>
                <w:sz w:val="24"/>
                <w:szCs w:val="24"/>
              </w:rPr>
            </w:pPr>
            <w:r>
              <w:rPr>
                <w:rFonts w:hint="eastAsia" w:ascii="仿宋_GB2312" w:hAnsi="仿宋_GB2312" w:cs="仿宋_GB2312"/>
                <w:sz w:val="24"/>
                <w:szCs w:val="24"/>
              </w:rPr>
              <w:t>7</w:t>
            </w:r>
          </w:p>
        </w:tc>
        <w:tc>
          <w:tcPr>
            <w:tcW w:w="10273" w:type="dxa"/>
            <w:gridSpan w:val="2"/>
            <w:noWrap w:val="0"/>
            <w:vAlign w:val="center"/>
          </w:tcPr>
          <w:p>
            <w:pPr>
              <w:rPr>
                <w:rFonts w:hint="eastAsia" w:ascii="仿宋_GB2312" w:hAnsi="仿宋_GB2312" w:cs="仿宋_GB2312"/>
                <w:sz w:val="24"/>
                <w:szCs w:val="24"/>
              </w:rPr>
            </w:pPr>
            <w:r>
              <w:rPr>
                <w:rFonts w:hint="eastAsia" w:ascii="仿宋_GB2312" w:hAnsi="仿宋_GB2312" w:cs="仿宋_GB2312"/>
                <w:sz w:val="24"/>
                <w:szCs w:val="24"/>
              </w:rPr>
              <w:t>广州市花都区人民政府办公室关于印发《花都区社会抚养费征收管理实施意见》的通知</w:t>
            </w:r>
          </w:p>
        </w:tc>
        <w:tc>
          <w:tcPr>
            <w:tcW w:w="2498" w:type="dxa"/>
            <w:noWrap w:val="0"/>
            <w:vAlign w:val="center"/>
          </w:tcPr>
          <w:p>
            <w:pPr>
              <w:rPr>
                <w:rFonts w:hint="eastAsia" w:ascii="仿宋_GB2312" w:hAnsi="仿宋_GB2312" w:cs="仿宋_GB2312"/>
                <w:sz w:val="24"/>
                <w:szCs w:val="24"/>
              </w:rPr>
            </w:pPr>
            <w:r>
              <w:rPr>
                <w:rFonts w:hint="eastAsia" w:ascii="仿宋_GB2312" w:hAnsi="仿宋_GB2312" w:cs="仿宋_GB2312"/>
                <w:sz w:val="24"/>
                <w:szCs w:val="24"/>
              </w:rPr>
              <w:t>花府办〔2016〕48号</w:t>
            </w:r>
          </w:p>
        </w:tc>
      </w:tr>
    </w:tbl>
    <w:p>
      <w:pPr>
        <w:rPr>
          <w:rFonts w:hint="eastAsia" w:ascii="仿宋_GB2312" w:hAnsi="仿宋_GB2312" w:cs="仿宋_GB2312"/>
          <w:sz w:val="28"/>
          <w:szCs w:val="28"/>
        </w:rPr>
      </w:pP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5225A3"/>
    <w:rsid w:val="2AE8282A"/>
    <w:rsid w:val="3AC1397D"/>
    <w:rsid w:val="3F5225A3"/>
    <w:rsid w:val="6F5F3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2019-11-25T09:23:00Z</dcterms:created>
  <dc:creator>lcl</dc:creator>
  <cp:lastModifiedBy>lcl</cp:lastModifiedBy>
  <dcterms:modified xsi:type="dcterms:W3CDTF">2019-11-25T09:27:16Z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